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FE" w:rsidRDefault="00FA73FE" w:rsidP="00FA73FE">
      <w:pPr>
        <w:jc w:val="center"/>
        <w:rPr>
          <w:b/>
        </w:rPr>
      </w:pPr>
      <w:bookmarkStart w:id="0" w:name="_GoBack"/>
      <w:bookmarkEnd w:id="0"/>
      <w:r>
        <w:rPr>
          <w:rFonts w:ascii="Garamond" w:hAnsi="Garamond"/>
          <w:b/>
          <w:noProof/>
          <w:sz w:val="32"/>
          <w:szCs w:val="32"/>
        </w:rPr>
        <w:drawing>
          <wp:inline distT="0" distB="0" distL="0" distR="0" wp14:anchorId="2ABAD5B0" wp14:editId="5CA491B5">
            <wp:extent cx="1005840" cy="754380"/>
            <wp:effectExtent l="0" t="0" r="3810" b="7620"/>
            <wp:docPr id="1" name="Picture 1" descr="DEP_Logo_Centered_2Color_Coated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_Logo_Centered_2Color_Coated_PMS"/>
                    <pic:cNvPicPr>
                      <a:picLocks noChangeAspect="1" noChangeArrowheads="1"/>
                    </pic:cNvPicPr>
                  </pic:nvPicPr>
                  <pic:blipFill>
                    <a:blip r:embed="rId6"/>
                    <a:srcRect/>
                    <a:stretch>
                      <a:fillRect/>
                    </a:stretch>
                  </pic:blipFill>
                  <pic:spPr bwMode="auto">
                    <a:xfrm>
                      <a:off x="0" y="0"/>
                      <a:ext cx="1006892" cy="755169"/>
                    </a:xfrm>
                    <a:prstGeom prst="rect">
                      <a:avLst/>
                    </a:prstGeom>
                    <a:noFill/>
                    <a:ln w="9525">
                      <a:noFill/>
                      <a:miter lim="800000"/>
                      <a:headEnd/>
                      <a:tailEnd/>
                    </a:ln>
                  </pic:spPr>
                </pic:pic>
              </a:graphicData>
            </a:graphic>
          </wp:inline>
        </w:drawing>
      </w:r>
    </w:p>
    <w:p w:rsidR="00FA73FE" w:rsidRDefault="00FA73FE" w:rsidP="00FA73FE">
      <w:pPr>
        <w:jc w:val="center"/>
        <w:rPr>
          <w:b/>
        </w:rPr>
      </w:pPr>
      <w:r>
        <w:rPr>
          <w:b/>
        </w:rPr>
        <w:t>May 7, 2013</w:t>
      </w:r>
    </w:p>
    <w:p w:rsidR="00FA73FE" w:rsidRDefault="00FA73FE">
      <w:pPr>
        <w:rPr>
          <w:b/>
        </w:rPr>
      </w:pPr>
    </w:p>
    <w:p w:rsidR="001E3CFF" w:rsidRPr="002222D8" w:rsidRDefault="00F95169">
      <w:pPr>
        <w:rPr>
          <w:b/>
        </w:rPr>
      </w:pPr>
      <w:r w:rsidRPr="002222D8">
        <w:rPr>
          <w:b/>
        </w:rPr>
        <w:t xml:space="preserve">DePauw 403(b) </w:t>
      </w:r>
      <w:r w:rsidR="00FB5671" w:rsidRPr="002222D8">
        <w:rPr>
          <w:b/>
        </w:rPr>
        <w:t xml:space="preserve">Session </w:t>
      </w:r>
      <w:r w:rsidR="00FB5671">
        <w:rPr>
          <w:b/>
        </w:rPr>
        <w:t>Participant</w:t>
      </w:r>
      <w:r w:rsidR="00BB7F75">
        <w:rPr>
          <w:b/>
        </w:rPr>
        <w:t xml:space="preserve"> </w:t>
      </w:r>
      <w:r w:rsidRPr="002222D8">
        <w:rPr>
          <w:b/>
        </w:rPr>
        <w:t>Q&amp;A</w:t>
      </w:r>
    </w:p>
    <w:p w:rsidR="00F95169" w:rsidRDefault="00F95169"/>
    <w:p w:rsidR="00F95169" w:rsidRPr="005930D6" w:rsidRDefault="00F95169" w:rsidP="00BB7F75">
      <w:pPr>
        <w:pStyle w:val="ListParagraph"/>
        <w:numPr>
          <w:ilvl w:val="0"/>
          <w:numId w:val="1"/>
        </w:numPr>
        <w:rPr>
          <w:i/>
        </w:rPr>
      </w:pPr>
      <w:r w:rsidRPr="005930D6">
        <w:rPr>
          <w:i/>
        </w:rPr>
        <w:t>What will happen to my funds if we select</w:t>
      </w:r>
      <w:r w:rsidR="00FA73FE" w:rsidRPr="005930D6">
        <w:rPr>
          <w:i/>
        </w:rPr>
        <w:t xml:space="preserve"> a vendor who does not offer my</w:t>
      </w:r>
      <w:r w:rsidR="00A93939" w:rsidRPr="005930D6">
        <w:rPr>
          <w:i/>
        </w:rPr>
        <w:t xml:space="preserve"> current fund in their portfolio?</w:t>
      </w:r>
    </w:p>
    <w:p w:rsidR="00E03FEC" w:rsidRDefault="004619C7" w:rsidP="00BB7F75">
      <w:pPr>
        <w:pStyle w:val="ListParagraph"/>
        <w:numPr>
          <w:ilvl w:val="1"/>
          <w:numId w:val="1"/>
        </w:numPr>
      </w:pPr>
      <w:r>
        <w:t>If you have your account with TIAA-Cref or AIG Valic, you will be able to review your options and determine if you want to rollover your account to the new provider.  If you have an account with Fidelity or American Century, your account will be automatically rolled over to the new provider and you will have the option of choosing the investments.  Faculty and staff will also be able to atte</w:t>
      </w:r>
      <w:r w:rsidR="00FA73FE">
        <w:t>nd meetings on the transition in</w:t>
      </w:r>
      <w:r>
        <w:t xml:space="preserve"> either a group basis or one-on-one to discuss their situation during the transition.</w:t>
      </w:r>
      <w:r w:rsidR="00FA73FE">
        <w:t xml:space="preserve"> Ample time will be provided for all employees to have individual meetings with the provider “on campus”.</w:t>
      </w:r>
    </w:p>
    <w:p w:rsidR="00A93939" w:rsidRDefault="00A93939"/>
    <w:p w:rsidR="00A93939" w:rsidRPr="005930D6" w:rsidRDefault="00A93939" w:rsidP="00BB7F75">
      <w:pPr>
        <w:pStyle w:val="ListParagraph"/>
        <w:numPr>
          <w:ilvl w:val="0"/>
          <w:numId w:val="1"/>
        </w:numPr>
        <w:rPr>
          <w:i/>
        </w:rPr>
      </w:pPr>
      <w:r w:rsidRPr="005930D6">
        <w:rPr>
          <w:i/>
        </w:rPr>
        <w:t>Who will benefit the “most” from a single source administra</w:t>
      </w:r>
      <w:r w:rsidR="00EF4381" w:rsidRPr="005930D6">
        <w:rPr>
          <w:i/>
        </w:rPr>
        <w:t>tor? Is there one type of participant who stands to gain more than another?</w:t>
      </w:r>
    </w:p>
    <w:p w:rsidR="00EF4381" w:rsidRDefault="00EF4381" w:rsidP="00BB7F75">
      <w:pPr>
        <w:pStyle w:val="ListParagraph"/>
        <w:numPr>
          <w:ilvl w:val="1"/>
          <w:numId w:val="1"/>
        </w:numPr>
      </w:pPr>
      <w:r>
        <w:t>The transition to a single vendor shou</w:t>
      </w:r>
      <w:r w:rsidR="00FA73FE">
        <w:t>ld benefit all employees</w:t>
      </w:r>
      <w:r>
        <w:t xml:space="preserve">. </w:t>
      </w:r>
      <w:r w:rsidR="00D74AB8">
        <w:t>The amount of benefit will be determined based upon how</w:t>
      </w:r>
      <w:r w:rsidR="00FA73FE">
        <w:t xml:space="preserve"> you</w:t>
      </w:r>
      <w:r w:rsidR="00D74AB8">
        <w:t xml:space="preserve"> are currently invested and </w:t>
      </w:r>
      <w:r w:rsidR="00FA73FE">
        <w:t>you</w:t>
      </w:r>
      <w:r w:rsidR="00D74AB8">
        <w:t xml:space="preserve"> invest going forward. </w:t>
      </w:r>
      <w:r w:rsidR="00FA73FE">
        <w:t xml:space="preserve"> All employees</w:t>
      </w:r>
      <w:r>
        <w:t xml:space="preserve"> will benefit from more focused education and communication </w:t>
      </w:r>
      <w:r w:rsidR="00FA73FE">
        <w:t xml:space="preserve">from the service provider. There will be greater access to individual and group </w:t>
      </w:r>
      <w:proofErr w:type="gramStart"/>
      <w:r w:rsidR="00FA73FE">
        <w:t>meetings  on</w:t>
      </w:r>
      <w:proofErr w:type="gramEnd"/>
      <w:r w:rsidR="00FA73FE">
        <w:t>-campus at DePauw with representatives from the new service provider.</w:t>
      </w:r>
    </w:p>
    <w:p w:rsidR="00EF4381" w:rsidRDefault="00EF4381"/>
    <w:p w:rsidR="00EF4381" w:rsidRPr="005930D6" w:rsidRDefault="00EF4381" w:rsidP="00BB7F75">
      <w:pPr>
        <w:pStyle w:val="ListParagraph"/>
        <w:numPr>
          <w:ilvl w:val="0"/>
          <w:numId w:val="1"/>
        </w:numPr>
        <w:rPr>
          <w:i/>
        </w:rPr>
      </w:pPr>
      <w:r w:rsidRPr="005930D6">
        <w:rPr>
          <w:i/>
        </w:rPr>
        <w:t>Will our service level change if we have a new vendor and we don’t move our funds?</w:t>
      </w:r>
    </w:p>
    <w:p w:rsidR="00EF4381" w:rsidRDefault="00EF4381" w:rsidP="00BB7F75">
      <w:pPr>
        <w:pStyle w:val="ListParagraph"/>
        <w:numPr>
          <w:ilvl w:val="1"/>
          <w:numId w:val="1"/>
        </w:numPr>
      </w:pPr>
      <w:r>
        <w:t xml:space="preserve">Your service </w:t>
      </w:r>
      <w:r w:rsidR="00D74AB8">
        <w:t>l</w:t>
      </w:r>
      <w:r>
        <w:t>evel should not change if you do not move your funds.</w:t>
      </w:r>
    </w:p>
    <w:p w:rsidR="00EF4381" w:rsidRDefault="00EF4381" w:rsidP="00EF4381"/>
    <w:p w:rsidR="00EF4381" w:rsidRPr="005930D6" w:rsidRDefault="00EF4381" w:rsidP="00BB7F75">
      <w:pPr>
        <w:pStyle w:val="ListParagraph"/>
        <w:numPr>
          <w:ilvl w:val="0"/>
          <w:numId w:val="1"/>
        </w:numPr>
        <w:rPr>
          <w:i/>
        </w:rPr>
      </w:pPr>
      <w:r w:rsidRPr="005930D6">
        <w:rPr>
          <w:i/>
        </w:rPr>
        <w:t>Will I be able to move my funds from the current</w:t>
      </w:r>
      <w:r w:rsidR="002B6F5D" w:rsidRPr="005930D6">
        <w:rPr>
          <w:i/>
        </w:rPr>
        <w:t xml:space="preserve"> fund to one of the new funds</w:t>
      </w:r>
      <w:r w:rsidR="002222D8" w:rsidRPr="005930D6">
        <w:rPr>
          <w:i/>
        </w:rPr>
        <w:t xml:space="preserve"> </w:t>
      </w:r>
      <w:r w:rsidR="002B6F5D" w:rsidRPr="005930D6">
        <w:rPr>
          <w:i/>
        </w:rPr>
        <w:t>offered</w:t>
      </w:r>
      <w:r w:rsidR="002222D8" w:rsidRPr="005930D6">
        <w:rPr>
          <w:i/>
        </w:rPr>
        <w:t>?</w:t>
      </w:r>
    </w:p>
    <w:p w:rsidR="002222D8" w:rsidRDefault="002222D8" w:rsidP="00BB7F75">
      <w:pPr>
        <w:pStyle w:val="ListParagraph"/>
        <w:numPr>
          <w:ilvl w:val="1"/>
          <w:numId w:val="1"/>
        </w:numPr>
      </w:pPr>
      <w:r>
        <w:t xml:space="preserve">Yes, you will be able to move funds from your current fund to the new funds </w:t>
      </w:r>
      <w:r w:rsidR="00FA73FE">
        <w:t>being</w:t>
      </w:r>
      <w:r>
        <w:t xml:space="preserve"> offered.  We will have on-site meetings to help with this process</w:t>
      </w:r>
      <w:r w:rsidR="00D74AB8">
        <w:t xml:space="preserve"> and will communicate with all </w:t>
      </w:r>
      <w:r w:rsidR="00FA73FE">
        <w:t>employees</w:t>
      </w:r>
      <w:r w:rsidR="00D74AB8">
        <w:t xml:space="preserve"> as we progress to one vendor</w:t>
      </w:r>
      <w:r>
        <w:t>.</w:t>
      </w:r>
    </w:p>
    <w:p w:rsidR="002222D8" w:rsidRPr="005930D6" w:rsidRDefault="002222D8" w:rsidP="002222D8">
      <w:pPr>
        <w:rPr>
          <w:i/>
        </w:rPr>
      </w:pPr>
    </w:p>
    <w:p w:rsidR="002222D8" w:rsidRPr="005930D6" w:rsidRDefault="002222D8" w:rsidP="00BB7F75">
      <w:pPr>
        <w:pStyle w:val="ListParagraph"/>
        <w:numPr>
          <w:ilvl w:val="0"/>
          <w:numId w:val="1"/>
        </w:numPr>
        <w:rPr>
          <w:i/>
        </w:rPr>
      </w:pPr>
      <w:r w:rsidRPr="005930D6">
        <w:rPr>
          <w:i/>
        </w:rPr>
        <w:t xml:space="preserve">Will access to my </w:t>
      </w:r>
      <w:r w:rsidR="005930D6">
        <w:rPr>
          <w:i/>
        </w:rPr>
        <w:t xml:space="preserve">DPU retirement savings </w:t>
      </w:r>
      <w:r w:rsidRPr="005930D6">
        <w:rPr>
          <w:i/>
        </w:rPr>
        <w:t>investments be impacted by a new vendor?</w:t>
      </w:r>
    </w:p>
    <w:p w:rsidR="002222D8" w:rsidRDefault="002222D8" w:rsidP="00BB7F75">
      <w:pPr>
        <w:pStyle w:val="ListParagraph"/>
        <w:numPr>
          <w:ilvl w:val="1"/>
          <w:numId w:val="1"/>
        </w:numPr>
      </w:pPr>
      <w:r>
        <w:t>Access to your investments should not be impacted by the new vendor.</w:t>
      </w:r>
    </w:p>
    <w:p w:rsidR="002222D8" w:rsidRDefault="002222D8" w:rsidP="002222D8"/>
    <w:p w:rsidR="002222D8" w:rsidRPr="005930D6" w:rsidRDefault="002222D8" w:rsidP="00BB7F75">
      <w:pPr>
        <w:pStyle w:val="ListParagraph"/>
        <w:numPr>
          <w:ilvl w:val="0"/>
          <w:numId w:val="1"/>
        </w:numPr>
        <w:rPr>
          <w:i/>
        </w:rPr>
      </w:pPr>
      <w:r w:rsidRPr="005930D6">
        <w:rPr>
          <w:i/>
        </w:rPr>
        <w:t xml:space="preserve">How can </w:t>
      </w:r>
      <w:r w:rsidR="005930D6">
        <w:rPr>
          <w:i/>
        </w:rPr>
        <w:t xml:space="preserve">retirement investment </w:t>
      </w:r>
      <w:r w:rsidRPr="005930D6">
        <w:rPr>
          <w:i/>
        </w:rPr>
        <w:t>funds be transferred from the current to the new vendor?</w:t>
      </w:r>
    </w:p>
    <w:p w:rsidR="002222D8" w:rsidRDefault="002222D8" w:rsidP="00BB7F75">
      <w:pPr>
        <w:pStyle w:val="ListParagraph"/>
        <w:numPr>
          <w:ilvl w:val="1"/>
          <w:numId w:val="1"/>
        </w:numPr>
      </w:pPr>
      <w:r>
        <w:t>Some vendors will require individual paperwork while others will be able to be done using automatic mapping of funds</w:t>
      </w:r>
      <w:r w:rsidR="00FA73FE">
        <w:t xml:space="preserve"> online via the internet</w:t>
      </w:r>
      <w:r>
        <w:t>.  DePauw will communicate with you ahead of time so you know what funds/vendors are affected and how.</w:t>
      </w:r>
    </w:p>
    <w:p w:rsidR="002222D8" w:rsidRDefault="002222D8" w:rsidP="002222D8"/>
    <w:p w:rsidR="002222D8" w:rsidRPr="005930D6" w:rsidRDefault="002222D8" w:rsidP="00BB7F75">
      <w:pPr>
        <w:pStyle w:val="ListParagraph"/>
        <w:numPr>
          <w:ilvl w:val="0"/>
          <w:numId w:val="1"/>
        </w:numPr>
        <w:rPr>
          <w:i/>
        </w:rPr>
      </w:pPr>
      <w:r w:rsidRPr="005930D6">
        <w:rPr>
          <w:i/>
        </w:rPr>
        <w:t>If funds are transferred when the single-source provider is determined, can fees be assessed?</w:t>
      </w:r>
    </w:p>
    <w:p w:rsidR="00B229C6" w:rsidRDefault="005930D6" w:rsidP="00BB7F75">
      <w:pPr>
        <w:pStyle w:val="ListParagraph"/>
        <w:numPr>
          <w:ilvl w:val="1"/>
          <w:numId w:val="1"/>
        </w:numPr>
      </w:pPr>
      <w:r>
        <w:t xml:space="preserve">Yes. </w:t>
      </w:r>
      <w:r w:rsidR="00B229C6">
        <w:t xml:space="preserve"> DePauw will continue to provide ongoing participant fee disclosures and the </w:t>
      </w:r>
      <w:r w:rsidR="008E115A">
        <w:t>403(b) Oversight Committee</w:t>
      </w:r>
      <w:r w:rsidR="00B229C6">
        <w:t xml:space="preserve"> will continue to review fees on an ongoing basis as well. </w:t>
      </w:r>
    </w:p>
    <w:p w:rsidR="00B229C6" w:rsidRDefault="00B229C6" w:rsidP="00B229C6"/>
    <w:p w:rsidR="008E115A" w:rsidRDefault="008E115A" w:rsidP="008E115A">
      <w:pPr>
        <w:pStyle w:val="ListParagraph"/>
        <w:jc w:val="center"/>
      </w:pPr>
      <w:r>
        <w:rPr>
          <w:rFonts w:ascii="Garamond" w:hAnsi="Garamond"/>
          <w:b/>
          <w:noProof/>
          <w:sz w:val="32"/>
          <w:szCs w:val="32"/>
        </w:rPr>
        <w:lastRenderedPageBreak/>
        <w:drawing>
          <wp:inline distT="0" distB="0" distL="0" distR="0" wp14:anchorId="79DEA193" wp14:editId="6CE98DD2">
            <wp:extent cx="1005840" cy="754380"/>
            <wp:effectExtent l="0" t="0" r="3810" b="7620"/>
            <wp:docPr id="2" name="Picture 2" descr="DEP_Logo_Centered_2Color_Coated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_Logo_Centered_2Color_Coated_PMS"/>
                    <pic:cNvPicPr>
                      <a:picLocks noChangeAspect="1" noChangeArrowheads="1"/>
                    </pic:cNvPicPr>
                  </pic:nvPicPr>
                  <pic:blipFill>
                    <a:blip r:embed="rId6"/>
                    <a:srcRect/>
                    <a:stretch>
                      <a:fillRect/>
                    </a:stretch>
                  </pic:blipFill>
                  <pic:spPr bwMode="auto">
                    <a:xfrm>
                      <a:off x="0" y="0"/>
                      <a:ext cx="1006892" cy="755169"/>
                    </a:xfrm>
                    <a:prstGeom prst="rect">
                      <a:avLst/>
                    </a:prstGeom>
                    <a:noFill/>
                    <a:ln w="9525">
                      <a:noFill/>
                      <a:miter lim="800000"/>
                      <a:headEnd/>
                      <a:tailEnd/>
                    </a:ln>
                  </pic:spPr>
                </pic:pic>
              </a:graphicData>
            </a:graphic>
          </wp:inline>
        </w:drawing>
      </w:r>
    </w:p>
    <w:p w:rsidR="008E115A" w:rsidRDefault="008E115A" w:rsidP="008E115A">
      <w:pPr>
        <w:pStyle w:val="ListParagraph"/>
        <w:jc w:val="center"/>
      </w:pPr>
    </w:p>
    <w:p w:rsidR="00B229C6" w:rsidRPr="005930D6" w:rsidRDefault="00B229C6" w:rsidP="00BB7F75">
      <w:pPr>
        <w:pStyle w:val="ListParagraph"/>
        <w:numPr>
          <w:ilvl w:val="0"/>
          <w:numId w:val="1"/>
        </w:numPr>
        <w:rPr>
          <w:i/>
        </w:rPr>
      </w:pPr>
      <w:r w:rsidRPr="005930D6">
        <w:rPr>
          <w:i/>
        </w:rPr>
        <w:t xml:space="preserve">Can we have a list of the </w:t>
      </w:r>
      <w:r w:rsidR="000208D3" w:rsidRPr="005930D6">
        <w:rPr>
          <w:i/>
        </w:rPr>
        <w:t xml:space="preserve">current </w:t>
      </w:r>
      <w:r w:rsidRPr="005930D6">
        <w:rPr>
          <w:i/>
        </w:rPr>
        <w:t xml:space="preserve">403(b) vendors as well as a list of the vendors presenting </w:t>
      </w:r>
      <w:r w:rsidR="008E115A" w:rsidRPr="005930D6">
        <w:rPr>
          <w:i/>
        </w:rPr>
        <w:t>Request for Proposal (</w:t>
      </w:r>
      <w:r w:rsidRPr="005930D6">
        <w:rPr>
          <w:i/>
        </w:rPr>
        <w:t>RFP</w:t>
      </w:r>
      <w:r w:rsidR="008E115A" w:rsidRPr="005930D6">
        <w:rPr>
          <w:i/>
        </w:rPr>
        <w:t>)</w:t>
      </w:r>
      <w:r w:rsidRPr="005930D6">
        <w:rPr>
          <w:i/>
        </w:rPr>
        <w:t xml:space="preserve"> detail?</w:t>
      </w:r>
    </w:p>
    <w:p w:rsidR="00B229C6" w:rsidRDefault="00B229C6" w:rsidP="00BB7F75">
      <w:pPr>
        <w:pStyle w:val="ListParagraph"/>
        <w:numPr>
          <w:ilvl w:val="1"/>
          <w:numId w:val="1"/>
        </w:numPr>
      </w:pPr>
      <w:r>
        <w:t xml:space="preserve">The current 403(b) vendors are: TIAA-Cref, Valic, American Century, and Fidelity.  Vendors </w:t>
      </w:r>
      <w:r w:rsidR="008E115A">
        <w:t>the 4039b) Oversight C</w:t>
      </w:r>
      <w:r>
        <w:t>ommittee asked to complete RFP: TIAA-Cref, Fidelity, Transamerica, Vanguard, Great West, and Principal.</w:t>
      </w:r>
    </w:p>
    <w:p w:rsidR="00B229C6" w:rsidRDefault="00B229C6" w:rsidP="00B229C6"/>
    <w:p w:rsidR="00B229C6" w:rsidRPr="005930D6" w:rsidRDefault="00B229C6" w:rsidP="00BB7F75">
      <w:pPr>
        <w:pStyle w:val="ListParagraph"/>
        <w:numPr>
          <w:ilvl w:val="0"/>
          <w:numId w:val="1"/>
        </w:numPr>
        <w:rPr>
          <w:i/>
        </w:rPr>
      </w:pPr>
      <w:r w:rsidRPr="005930D6">
        <w:rPr>
          <w:i/>
        </w:rPr>
        <w:t>What type of investment fund options will be available from the new provider versus the current provider?</w:t>
      </w:r>
    </w:p>
    <w:p w:rsidR="00B229C6" w:rsidRDefault="008E115A" w:rsidP="00BB7F75">
      <w:pPr>
        <w:pStyle w:val="ListParagraph"/>
        <w:numPr>
          <w:ilvl w:val="1"/>
          <w:numId w:val="1"/>
        </w:numPr>
      </w:pPr>
      <w:r>
        <w:t>The C</w:t>
      </w:r>
      <w:r w:rsidR="00B229C6">
        <w:t>ommittee will review various fund options once</w:t>
      </w:r>
      <w:r>
        <w:t xml:space="preserve"> the</w:t>
      </w:r>
      <w:r w:rsidR="00B229C6">
        <w:t xml:space="preserve"> final vendor is selected.  The fund line-up will be broken down into target date fund, core line up, and a self-direct</w:t>
      </w:r>
      <w:r>
        <w:t>ed brokerage accounts.  DePauw is committed to expanding the investment options for participants.</w:t>
      </w:r>
    </w:p>
    <w:p w:rsidR="00B229C6" w:rsidRDefault="00B229C6" w:rsidP="00B229C6"/>
    <w:p w:rsidR="00B229C6" w:rsidRPr="005930D6" w:rsidRDefault="000208D3" w:rsidP="00BB7F75">
      <w:pPr>
        <w:pStyle w:val="ListParagraph"/>
        <w:numPr>
          <w:ilvl w:val="0"/>
          <w:numId w:val="1"/>
        </w:numPr>
        <w:rPr>
          <w:i/>
        </w:rPr>
      </w:pPr>
      <w:r w:rsidRPr="005930D6">
        <w:rPr>
          <w:i/>
        </w:rPr>
        <w:t>What is John Ludwig/</w:t>
      </w:r>
      <w:r w:rsidR="00B229C6" w:rsidRPr="005930D6">
        <w:rPr>
          <w:i/>
        </w:rPr>
        <w:t>LHD’s role on the Committee?  Will LHD take a “cut” of the cost savings? Is LHD independent from all of the proposing service providers?</w:t>
      </w:r>
    </w:p>
    <w:p w:rsidR="00B229C6" w:rsidRDefault="00B229C6" w:rsidP="00BB7F75">
      <w:pPr>
        <w:pStyle w:val="ListParagraph"/>
        <w:numPr>
          <w:ilvl w:val="1"/>
          <w:numId w:val="1"/>
        </w:numPr>
      </w:pPr>
      <w:r>
        <w:t xml:space="preserve">John Ludwig is an independent consultant hired by and paid by DePauw.  John Ludwig is not </w:t>
      </w:r>
      <w:r w:rsidR="008E115A">
        <w:t>connected to any of the vendors involved in the Retirement Planning process.</w:t>
      </w:r>
    </w:p>
    <w:p w:rsidR="00B229C6" w:rsidRPr="005930D6" w:rsidRDefault="00B229C6" w:rsidP="00B229C6">
      <w:pPr>
        <w:rPr>
          <w:i/>
        </w:rPr>
      </w:pPr>
    </w:p>
    <w:p w:rsidR="00E03FEC" w:rsidRPr="005930D6" w:rsidRDefault="000208D3" w:rsidP="00BB7F75">
      <w:pPr>
        <w:pStyle w:val="ListParagraph"/>
        <w:numPr>
          <w:ilvl w:val="0"/>
          <w:numId w:val="1"/>
        </w:numPr>
        <w:rPr>
          <w:i/>
        </w:rPr>
      </w:pPr>
      <w:r w:rsidRPr="005930D6">
        <w:rPr>
          <w:i/>
        </w:rPr>
        <w:t>How long</w:t>
      </w:r>
      <w:r w:rsidR="00E03FEC" w:rsidRPr="005930D6">
        <w:rPr>
          <w:i/>
        </w:rPr>
        <w:t xml:space="preserve"> will the contract be with the new vendor?  Do we need to worry about low fees the initial year and then the rates being “jacked up” in future years?</w:t>
      </w:r>
    </w:p>
    <w:p w:rsidR="00E03FEC" w:rsidRPr="005930D6" w:rsidRDefault="00E03FEC" w:rsidP="00BB7F75">
      <w:pPr>
        <w:pStyle w:val="ListParagraph"/>
        <w:numPr>
          <w:ilvl w:val="1"/>
          <w:numId w:val="1"/>
        </w:numPr>
        <w:rPr>
          <w:i/>
        </w:rPr>
      </w:pPr>
      <w:r>
        <w:t xml:space="preserve">The </w:t>
      </w:r>
      <w:r w:rsidR="008E115A">
        <w:t>403(b) Oversight Committee</w:t>
      </w:r>
      <w:r>
        <w:t xml:space="preserve"> will review </w:t>
      </w:r>
      <w:r w:rsidR="008E115A">
        <w:t>fees on an ongoing basis.  The C</w:t>
      </w:r>
      <w:r>
        <w:t>ommittee will review service and fee guarantees by each vendor.</w:t>
      </w:r>
      <w:r w:rsidR="008E115A">
        <w:t xml:space="preserve"> It is not known what the terms of </w:t>
      </w:r>
      <w:r w:rsidR="008E115A" w:rsidRPr="005930D6">
        <w:rPr>
          <w:i/>
        </w:rPr>
        <w:t>the new service agreement will be.</w:t>
      </w:r>
    </w:p>
    <w:p w:rsidR="00E03FEC" w:rsidRPr="005930D6" w:rsidRDefault="00E03FEC" w:rsidP="00E03FEC">
      <w:pPr>
        <w:rPr>
          <w:i/>
        </w:rPr>
      </w:pPr>
    </w:p>
    <w:p w:rsidR="00E03FEC" w:rsidRPr="005930D6" w:rsidRDefault="00E03FEC" w:rsidP="00BB7F75">
      <w:pPr>
        <w:pStyle w:val="ListParagraph"/>
        <w:numPr>
          <w:ilvl w:val="0"/>
          <w:numId w:val="1"/>
        </w:numPr>
        <w:rPr>
          <w:i/>
        </w:rPr>
      </w:pPr>
      <w:r w:rsidRPr="005930D6">
        <w:rPr>
          <w:i/>
        </w:rPr>
        <w:t>Who is going to monitor the Plan fees and how often?  Will DPU be looking at making a vendor change on a regular basis?</w:t>
      </w:r>
    </w:p>
    <w:p w:rsidR="00E03FEC" w:rsidRDefault="00413D27" w:rsidP="00BB7F75">
      <w:pPr>
        <w:pStyle w:val="ListParagraph"/>
        <w:numPr>
          <w:ilvl w:val="1"/>
          <w:numId w:val="1"/>
        </w:numPr>
      </w:pPr>
      <w:r>
        <w:t xml:space="preserve">The </w:t>
      </w:r>
      <w:r w:rsidR="008E115A">
        <w:t>403(b) Oversight Committee</w:t>
      </w:r>
      <w:r>
        <w:t xml:space="preserve"> will review fees on an annual basis. Although DePauw does not take lightly a change like this, DePauw could make a vendor change in the future</w:t>
      </w:r>
      <w:r w:rsidR="008E115A">
        <w:t xml:space="preserve"> if the needs of DePauw and or Plan participants</w:t>
      </w:r>
      <w:r w:rsidR="00D74AB8">
        <w:t xml:space="preserve"> are not being met.</w:t>
      </w:r>
      <w:r>
        <w:t xml:space="preserve">  It is our intent to have a long-term relationship with whatever vendor we choose.</w:t>
      </w:r>
    </w:p>
    <w:p w:rsidR="002222D8" w:rsidRDefault="002222D8" w:rsidP="00BB7F75">
      <w:pPr>
        <w:ind w:firstLine="720"/>
      </w:pPr>
    </w:p>
    <w:p w:rsidR="00413D27" w:rsidRPr="005930D6" w:rsidRDefault="00413D27" w:rsidP="00BB7F75">
      <w:pPr>
        <w:pStyle w:val="ListParagraph"/>
        <w:numPr>
          <w:ilvl w:val="0"/>
          <w:numId w:val="1"/>
        </w:numPr>
        <w:rPr>
          <w:i/>
        </w:rPr>
      </w:pPr>
      <w:r w:rsidRPr="005930D6">
        <w:rPr>
          <w:i/>
        </w:rPr>
        <w:t>Will certain people “save” more in fees than others?  Specifically comment was made to make sure the “lower earning” employees get a bigger benefit from the fee savings than the higher paid employees.</w:t>
      </w:r>
    </w:p>
    <w:p w:rsidR="00413D27" w:rsidRDefault="00413D27" w:rsidP="00BB7F75">
      <w:pPr>
        <w:pStyle w:val="ListParagraph"/>
        <w:numPr>
          <w:ilvl w:val="1"/>
          <w:numId w:val="1"/>
        </w:numPr>
      </w:pPr>
      <w:r>
        <w:t>See #2</w:t>
      </w:r>
    </w:p>
    <w:p w:rsidR="00413D27" w:rsidRDefault="00413D27" w:rsidP="002222D8"/>
    <w:p w:rsidR="00413D27" w:rsidRDefault="00413D27" w:rsidP="00BB7F75">
      <w:pPr>
        <w:pStyle w:val="ListParagraph"/>
        <w:numPr>
          <w:ilvl w:val="0"/>
          <w:numId w:val="1"/>
        </w:numPr>
      </w:pPr>
      <w:r w:rsidRPr="005930D6">
        <w:rPr>
          <w:i/>
        </w:rPr>
        <w:t>Does DePauw have a cost reduction – not just administration but somehow is DPU saving</w:t>
      </w:r>
      <w:r>
        <w:t xml:space="preserve"> $$?</w:t>
      </w:r>
    </w:p>
    <w:p w:rsidR="00413D27" w:rsidRDefault="00413D27" w:rsidP="00BB7F75">
      <w:pPr>
        <w:pStyle w:val="ListParagraph"/>
        <w:numPr>
          <w:ilvl w:val="1"/>
          <w:numId w:val="1"/>
        </w:numPr>
      </w:pPr>
      <w:r>
        <w:t>DePauw</w:t>
      </w:r>
      <w:r w:rsidR="008E115A">
        <w:t>’s</w:t>
      </w:r>
      <w:r>
        <w:t xml:space="preserve"> </w:t>
      </w:r>
      <w:r w:rsidR="008E115A">
        <w:t>“</w:t>
      </w:r>
      <w:r>
        <w:t xml:space="preserve">hard dollars </w:t>
      </w:r>
      <w:proofErr w:type="spellStart"/>
      <w:r>
        <w:t>cost</w:t>
      </w:r>
      <w:r w:rsidR="008E115A">
        <w:t>”</w:t>
      </w:r>
      <w:r>
        <w:t>s</w:t>
      </w:r>
      <w:proofErr w:type="spellEnd"/>
      <w:r>
        <w:t xml:space="preserve"> are not being reduced.  DePauw benefit comes in the form of </w:t>
      </w:r>
      <w:r w:rsidR="008E115A">
        <w:t>Administrative time (Human Resources and Finance Departments)</w:t>
      </w:r>
      <w:r>
        <w:t xml:space="preserve"> spent on dealing with managing four vendors versus one.</w:t>
      </w:r>
    </w:p>
    <w:p w:rsidR="00413D27" w:rsidRDefault="00413D27" w:rsidP="00413D27"/>
    <w:p w:rsidR="008E115A" w:rsidRDefault="008E115A" w:rsidP="00413D27"/>
    <w:p w:rsidR="008E115A" w:rsidRDefault="008E115A" w:rsidP="008E115A">
      <w:pPr>
        <w:jc w:val="center"/>
      </w:pPr>
      <w:r>
        <w:rPr>
          <w:rFonts w:ascii="Garamond" w:hAnsi="Garamond"/>
          <w:b/>
          <w:noProof/>
          <w:sz w:val="32"/>
          <w:szCs w:val="32"/>
        </w:rPr>
        <w:lastRenderedPageBreak/>
        <w:drawing>
          <wp:inline distT="0" distB="0" distL="0" distR="0" wp14:anchorId="79DEA193" wp14:editId="6CE98DD2">
            <wp:extent cx="1005840" cy="754380"/>
            <wp:effectExtent l="0" t="0" r="3810" b="7620"/>
            <wp:docPr id="3" name="Picture 3" descr="DEP_Logo_Centered_2Color_Coated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_Logo_Centered_2Color_Coated_PMS"/>
                    <pic:cNvPicPr>
                      <a:picLocks noChangeAspect="1" noChangeArrowheads="1"/>
                    </pic:cNvPicPr>
                  </pic:nvPicPr>
                  <pic:blipFill>
                    <a:blip r:embed="rId6"/>
                    <a:srcRect/>
                    <a:stretch>
                      <a:fillRect/>
                    </a:stretch>
                  </pic:blipFill>
                  <pic:spPr bwMode="auto">
                    <a:xfrm>
                      <a:off x="0" y="0"/>
                      <a:ext cx="1006892" cy="755169"/>
                    </a:xfrm>
                    <a:prstGeom prst="rect">
                      <a:avLst/>
                    </a:prstGeom>
                    <a:noFill/>
                    <a:ln w="9525">
                      <a:noFill/>
                      <a:miter lim="800000"/>
                      <a:headEnd/>
                      <a:tailEnd/>
                    </a:ln>
                  </pic:spPr>
                </pic:pic>
              </a:graphicData>
            </a:graphic>
          </wp:inline>
        </w:drawing>
      </w:r>
    </w:p>
    <w:p w:rsidR="008E115A" w:rsidRDefault="008E115A" w:rsidP="008E115A">
      <w:pPr>
        <w:jc w:val="center"/>
      </w:pPr>
    </w:p>
    <w:p w:rsidR="00413D27" w:rsidRPr="005930D6" w:rsidRDefault="00413D27" w:rsidP="00BB7F75">
      <w:pPr>
        <w:pStyle w:val="ListParagraph"/>
        <w:numPr>
          <w:ilvl w:val="0"/>
          <w:numId w:val="1"/>
        </w:numPr>
        <w:rPr>
          <w:i/>
        </w:rPr>
      </w:pPr>
      <w:r w:rsidRPr="005930D6">
        <w:rPr>
          <w:i/>
        </w:rPr>
        <w:t xml:space="preserve">Will DePauw </w:t>
      </w:r>
      <w:r w:rsidR="000208D3" w:rsidRPr="005930D6">
        <w:rPr>
          <w:i/>
        </w:rPr>
        <w:t>increase the percentage</w:t>
      </w:r>
      <w:r w:rsidRPr="005930D6">
        <w:rPr>
          <w:i/>
        </w:rPr>
        <w:t xml:space="preserve"> of EE contribution required to have the 8% DPU match?</w:t>
      </w:r>
    </w:p>
    <w:p w:rsidR="00413D27" w:rsidRDefault="008E115A" w:rsidP="00BB7F75">
      <w:pPr>
        <w:pStyle w:val="ListParagraph"/>
        <w:numPr>
          <w:ilvl w:val="1"/>
          <w:numId w:val="1"/>
        </w:numPr>
      </w:pPr>
      <w:r>
        <w:t xml:space="preserve">No. </w:t>
      </w:r>
      <w:r w:rsidR="00413D27">
        <w:t>DePauw is currently not considering any plan changes regarding match.</w:t>
      </w:r>
    </w:p>
    <w:p w:rsidR="00413D27" w:rsidRDefault="00413D27" w:rsidP="00413D27"/>
    <w:p w:rsidR="00413D27" w:rsidRPr="005930D6" w:rsidRDefault="00413D27" w:rsidP="00BB7F75">
      <w:pPr>
        <w:pStyle w:val="ListParagraph"/>
        <w:numPr>
          <w:ilvl w:val="0"/>
          <w:numId w:val="1"/>
        </w:numPr>
        <w:rPr>
          <w:i/>
        </w:rPr>
      </w:pPr>
      <w:r w:rsidRPr="005930D6">
        <w:rPr>
          <w:i/>
        </w:rPr>
        <w:t>Has DPU considered increasing the 8% ER match?</w:t>
      </w:r>
    </w:p>
    <w:p w:rsidR="00413D27" w:rsidRDefault="008E115A" w:rsidP="00BB7F75">
      <w:pPr>
        <w:pStyle w:val="ListParagraph"/>
        <w:numPr>
          <w:ilvl w:val="1"/>
          <w:numId w:val="1"/>
        </w:numPr>
      </w:pPr>
      <w:r>
        <w:t xml:space="preserve">Not at this time. </w:t>
      </w:r>
      <w:r w:rsidR="00413D27">
        <w:t>See #15</w:t>
      </w:r>
    </w:p>
    <w:p w:rsidR="00413D27" w:rsidRDefault="00413D27" w:rsidP="00413D27"/>
    <w:p w:rsidR="00413D27" w:rsidRPr="005930D6" w:rsidRDefault="00413D27" w:rsidP="00BB7F75">
      <w:pPr>
        <w:pStyle w:val="ListParagraph"/>
        <w:numPr>
          <w:ilvl w:val="0"/>
          <w:numId w:val="1"/>
        </w:numPr>
        <w:rPr>
          <w:i/>
        </w:rPr>
      </w:pPr>
      <w:r w:rsidRPr="005930D6">
        <w:rPr>
          <w:i/>
        </w:rPr>
        <w:t>Are there a</w:t>
      </w:r>
      <w:r w:rsidR="000208D3" w:rsidRPr="005930D6">
        <w:rPr>
          <w:i/>
        </w:rPr>
        <w:t xml:space="preserve">ny additional benefits </w:t>
      </w:r>
      <w:proofErr w:type="gramStart"/>
      <w:r w:rsidR="000208D3" w:rsidRPr="005930D6">
        <w:rPr>
          <w:i/>
        </w:rPr>
        <w:t>gained/</w:t>
      </w:r>
      <w:r w:rsidRPr="005930D6">
        <w:rPr>
          <w:i/>
        </w:rPr>
        <w:t>lost</w:t>
      </w:r>
      <w:proofErr w:type="gramEnd"/>
      <w:r w:rsidRPr="005930D6">
        <w:rPr>
          <w:i/>
        </w:rPr>
        <w:t xml:space="preserve"> for “Same Sex Domestic Partners” with the new vendors?</w:t>
      </w:r>
    </w:p>
    <w:p w:rsidR="00734C89" w:rsidRDefault="00734C89" w:rsidP="00BB7F75">
      <w:pPr>
        <w:pStyle w:val="ListParagraph"/>
        <w:numPr>
          <w:ilvl w:val="1"/>
          <w:numId w:val="1"/>
        </w:numPr>
      </w:pPr>
      <w:r>
        <w:t>There are no benefits gained or lost for “Same Sex Domestic Partners” with the new vendors.</w:t>
      </w:r>
    </w:p>
    <w:p w:rsidR="00734C89" w:rsidRDefault="00734C89" w:rsidP="00413D27"/>
    <w:p w:rsidR="00734C89" w:rsidRPr="005930D6" w:rsidRDefault="00734C89" w:rsidP="00BB7F75">
      <w:pPr>
        <w:pStyle w:val="ListParagraph"/>
        <w:numPr>
          <w:ilvl w:val="0"/>
          <w:numId w:val="1"/>
        </w:numPr>
        <w:rPr>
          <w:i/>
        </w:rPr>
      </w:pPr>
      <w:r w:rsidRPr="005930D6">
        <w:rPr>
          <w:i/>
        </w:rPr>
        <w:t xml:space="preserve">About how much will participants </w:t>
      </w:r>
      <w:proofErr w:type="gramStart"/>
      <w:r w:rsidRPr="005930D6">
        <w:rPr>
          <w:i/>
        </w:rPr>
        <w:t>be</w:t>
      </w:r>
      <w:proofErr w:type="gramEnd"/>
      <w:r w:rsidRPr="005930D6">
        <w:rPr>
          <w:i/>
        </w:rPr>
        <w:t xml:space="preserve"> saving with the new agreement?  Is there a way to quantify and communicate to participants?</w:t>
      </w:r>
    </w:p>
    <w:p w:rsidR="00734C89" w:rsidRDefault="00734C89" w:rsidP="00BB7F75">
      <w:pPr>
        <w:pStyle w:val="ListParagraph"/>
        <w:numPr>
          <w:ilvl w:val="1"/>
          <w:numId w:val="1"/>
        </w:numPr>
      </w:pPr>
      <w:r>
        <w:t>It is hard to quantify savings as each participant invests differently.</w:t>
      </w:r>
    </w:p>
    <w:p w:rsidR="00734C89" w:rsidRDefault="00734C89" w:rsidP="00413D27"/>
    <w:p w:rsidR="00734C89" w:rsidRPr="005930D6" w:rsidRDefault="00734C89" w:rsidP="00BB7F75">
      <w:pPr>
        <w:pStyle w:val="ListParagraph"/>
        <w:numPr>
          <w:ilvl w:val="0"/>
          <w:numId w:val="1"/>
        </w:numPr>
        <w:rPr>
          <w:i/>
        </w:rPr>
      </w:pPr>
      <w:r w:rsidRPr="005930D6">
        <w:rPr>
          <w:i/>
        </w:rPr>
        <w:t xml:space="preserve">Should I continue “retirement </w:t>
      </w:r>
      <w:proofErr w:type="gramStart"/>
      <w:r w:rsidRPr="005930D6">
        <w:rPr>
          <w:i/>
        </w:rPr>
        <w:t>planning</w:t>
      </w:r>
      <w:r w:rsidR="00FB5671" w:rsidRPr="005930D6">
        <w:rPr>
          <w:i/>
        </w:rPr>
        <w:t>”</w:t>
      </w:r>
      <w:proofErr w:type="gramEnd"/>
      <w:r w:rsidR="00FB5671" w:rsidRPr="005930D6">
        <w:rPr>
          <w:i/>
        </w:rPr>
        <w:t xml:space="preserve"> </w:t>
      </w:r>
      <w:r w:rsidRPr="005930D6">
        <w:rPr>
          <w:i/>
        </w:rPr>
        <w:t xml:space="preserve">with my current vendor knowing it could change sometime in the near future? </w:t>
      </w:r>
    </w:p>
    <w:p w:rsidR="00734C89" w:rsidRDefault="00734C89" w:rsidP="00BB7F75">
      <w:pPr>
        <w:pStyle w:val="ListParagraph"/>
        <w:numPr>
          <w:ilvl w:val="1"/>
          <w:numId w:val="1"/>
        </w:numPr>
      </w:pPr>
      <w:r>
        <w:t>Yes until a final decision is made</w:t>
      </w:r>
      <w:r w:rsidR="008E115A">
        <w:t xml:space="preserve"> regarding service administrator</w:t>
      </w:r>
      <w:r>
        <w:t xml:space="preserve">, please continue to work with </w:t>
      </w:r>
      <w:r w:rsidR="008E115A">
        <w:t>your current vendor(s) regarding your personal retirement savings and planning.</w:t>
      </w:r>
    </w:p>
    <w:p w:rsidR="00734C89" w:rsidRDefault="00734C89" w:rsidP="00413D27"/>
    <w:p w:rsidR="00734C89" w:rsidRPr="005930D6" w:rsidRDefault="00734C89" w:rsidP="00BB7F75">
      <w:pPr>
        <w:pStyle w:val="ListParagraph"/>
        <w:numPr>
          <w:ilvl w:val="0"/>
          <w:numId w:val="1"/>
        </w:numPr>
        <w:rPr>
          <w:i/>
        </w:rPr>
      </w:pPr>
      <w:r w:rsidRPr="005930D6">
        <w:rPr>
          <w:i/>
        </w:rPr>
        <w:t>Will I have to move my funds from where they are</w:t>
      </w:r>
      <w:r w:rsidR="000208D3" w:rsidRPr="005930D6">
        <w:rPr>
          <w:i/>
        </w:rPr>
        <w:t xml:space="preserve"> currently invested, and if </w:t>
      </w:r>
      <w:r w:rsidRPr="005930D6">
        <w:rPr>
          <w:i/>
        </w:rPr>
        <w:t>I don’t move my funds to the new vendor, what kind of services can I anticipate from the current fund manager?</w:t>
      </w:r>
    </w:p>
    <w:p w:rsidR="00734C89" w:rsidRDefault="00734C89" w:rsidP="00BB7F75">
      <w:pPr>
        <w:pStyle w:val="ListParagraph"/>
        <w:numPr>
          <w:ilvl w:val="1"/>
          <w:numId w:val="1"/>
        </w:numPr>
      </w:pPr>
      <w:r>
        <w:t>See #3</w:t>
      </w:r>
    </w:p>
    <w:p w:rsidR="00734C89" w:rsidRDefault="00734C89" w:rsidP="00413D27"/>
    <w:p w:rsidR="00734C89" w:rsidRPr="005930D6" w:rsidRDefault="00734C89" w:rsidP="00BB7F75">
      <w:pPr>
        <w:pStyle w:val="ListParagraph"/>
        <w:numPr>
          <w:ilvl w:val="0"/>
          <w:numId w:val="1"/>
        </w:numPr>
        <w:rPr>
          <w:i/>
        </w:rPr>
      </w:pPr>
      <w:r w:rsidRPr="005930D6">
        <w:rPr>
          <w:i/>
        </w:rPr>
        <w:t xml:space="preserve">What is the anticipated timing for the change </w:t>
      </w:r>
      <w:r w:rsidR="00BB7F75" w:rsidRPr="005930D6">
        <w:rPr>
          <w:i/>
        </w:rPr>
        <w:t>– there wasn’t really a negative feel to the question, just wanted to know if it could be done in 2013 so 2014 could be with the new vendor.</w:t>
      </w:r>
    </w:p>
    <w:p w:rsidR="00BB7F75" w:rsidRDefault="00BB7F75" w:rsidP="00BB7F75">
      <w:pPr>
        <w:pStyle w:val="ListParagraph"/>
        <w:numPr>
          <w:ilvl w:val="1"/>
          <w:numId w:val="1"/>
        </w:numPr>
      </w:pPr>
      <w:r>
        <w:t xml:space="preserve">We are in the process of reviewing current requests for proposal (RFP) and final presentations.  We look to make a final recommendation selection this summer and work through the transition in </w:t>
      </w:r>
      <w:proofErr w:type="gramStart"/>
      <w:r w:rsidR="008E115A">
        <w:t>F</w:t>
      </w:r>
      <w:r w:rsidR="00FB5671">
        <w:t>all</w:t>
      </w:r>
      <w:proofErr w:type="gramEnd"/>
      <w:r>
        <w:t xml:space="preserve"> of 2013.</w:t>
      </w:r>
    </w:p>
    <w:p w:rsidR="00BB7F75" w:rsidRPr="005930D6" w:rsidRDefault="00BB7F75" w:rsidP="00BB7F75">
      <w:pPr>
        <w:rPr>
          <w:i/>
        </w:rPr>
      </w:pPr>
    </w:p>
    <w:p w:rsidR="00BB7F75" w:rsidRPr="005930D6" w:rsidRDefault="00BB7F75" w:rsidP="00BB7F75">
      <w:pPr>
        <w:pStyle w:val="ListParagraph"/>
        <w:numPr>
          <w:ilvl w:val="0"/>
          <w:numId w:val="1"/>
        </w:numPr>
        <w:rPr>
          <w:i/>
        </w:rPr>
      </w:pPr>
      <w:r w:rsidRPr="005930D6">
        <w:rPr>
          <w:i/>
        </w:rPr>
        <w:t>I was just hired recently, should I wait to enroll in the 403(b)?</w:t>
      </w:r>
    </w:p>
    <w:p w:rsidR="00BB7F75" w:rsidRDefault="00BB7F75" w:rsidP="00BB7F75">
      <w:pPr>
        <w:pStyle w:val="ListParagraph"/>
        <w:numPr>
          <w:ilvl w:val="1"/>
          <w:numId w:val="1"/>
        </w:numPr>
      </w:pPr>
      <w:r>
        <w:t xml:space="preserve">No, please enroll now as you do not want to miss out on DePauw </w:t>
      </w:r>
      <w:r w:rsidR="008E115A">
        <w:t>8</w:t>
      </w:r>
      <w:proofErr w:type="gramStart"/>
      <w:r w:rsidR="008E115A">
        <w:t>%  Retirement</w:t>
      </w:r>
      <w:proofErr w:type="gramEnd"/>
      <w:r w:rsidR="008E115A">
        <w:t xml:space="preserve"> Savings Plan </w:t>
      </w:r>
      <w:r>
        <w:t>match.</w:t>
      </w:r>
    </w:p>
    <w:p w:rsidR="002222D8" w:rsidRDefault="002222D8" w:rsidP="002222D8"/>
    <w:p w:rsidR="002222D8" w:rsidRDefault="002222D8" w:rsidP="002222D8"/>
    <w:p w:rsidR="002222D8" w:rsidRDefault="002222D8" w:rsidP="002222D8">
      <w:pPr>
        <w:ind w:left="720"/>
      </w:pPr>
    </w:p>
    <w:p w:rsidR="002222D8" w:rsidRDefault="002222D8" w:rsidP="002222D8">
      <w:pPr>
        <w:ind w:left="720"/>
      </w:pPr>
    </w:p>
    <w:p w:rsidR="002222D8" w:rsidRDefault="002222D8" w:rsidP="00EF4381"/>
    <w:p w:rsidR="00EF4381" w:rsidRDefault="00EF4381">
      <w:r>
        <w:tab/>
      </w:r>
    </w:p>
    <w:sectPr w:rsidR="00EF4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07335"/>
    <w:multiLevelType w:val="hybridMultilevel"/>
    <w:tmpl w:val="2B6659B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69"/>
    <w:rsid w:val="000208D3"/>
    <w:rsid w:val="00034158"/>
    <w:rsid w:val="00035133"/>
    <w:rsid w:val="0004290C"/>
    <w:rsid w:val="00044C87"/>
    <w:rsid w:val="00051AB8"/>
    <w:rsid w:val="0005489A"/>
    <w:rsid w:val="0006777A"/>
    <w:rsid w:val="00073C1F"/>
    <w:rsid w:val="00075666"/>
    <w:rsid w:val="00091F46"/>
    <w:rsid w:val="000926F3"/>
    <w:rsid w:val="00093E4C"/>
    <w:rsid w:val="000C0909"/>
    <w:rsid w:val="000C6752"/>
    <w:rsid w:val="001008AA"/>
    <w:rsid w:val="0010403D"/>
    <w:rsid w:val="00104F02"/>
    <w:rsid w:val="00121941"/>
    <w:rsid w:val="00130034"/>
    <w:rsid w:val="00144DCE"/>
    <w:rsid w:val="0016017C"/>
    <w:rsid w:val="00166213"/>
    <w:rsid w:val="00175AB5"/>
    <w:rsid w:val="00177B1D"/>
    <w:rsid w:val="00184EE5"/>
    <w:rsid w:val="001916AB"/>
    <w:rsid w:val="001A0BD9"/>
    <w:rsid w:val="001A28F8"/>
    <w:rsid w:val="001C0423"/>
    <w:rsid w:val="001C29F5"/>
    <w:rsid w:val="001D7758"/>
    <w:rsid w:val="001E3CFF"/>
    <w:rsid w:val="001E4F97"/>
    <w:rsid w:val="0020352C"/>
    <w:rsid w:val="002102A2"/>
    <w:rsid w:val="00217FE5"/>
    <w:rsid w:val="002222D8"/>
    <w:rsid w:val="00230A94"/>
    <w:rsid w:val="00246ABC"/>
    <w:rsid w:val="00262D0C"/>
    <w:rsid w:val="002641EE"/>
    <w:rsid w:val="00264767"/>
    <w:rsid w:val="002717E4"/>
    <w:rsid w:val="00297E37"/>
    <w:rsid w:val="002B44D1"/>
    <w:rsid w:val="002B6F5D"/>
    <w:rsid w:val="002C0D87"/>
    <w:rsid w:val="002D3ABE"/>
    <w:rsid w:val="002D471C"/>
    <w:rsid w:val="002D7A8A"/>
    <w:rsid w:val="0030313F"/>
    <w:rsid w:val="00315C36"/>
    <w:rsid w:val="00320056"/>
    <w:rsid w:val="003220A0"/>
    <w:rsid w:val="00323027"/>
    <w:rsid w:val="00325C40"/>
    <w:rsid w:val="00326720"/>
    <w:rsid w:val="00330D79"/>
    <w:rsid w:val="00335866"/>
    <w:rsid w:val="00337F67"/>
    <w:rsid w:val="003407C9"/>
    <w:rsid w:val="00352B41"/>
    <w:rsid w:val="00371C00"/>
    <w:rsid w:val="00374A03"/>
    <w:rsid w:val="003A1830"/>
    <w:rsid w:val="003A6277"/>
    <w:rsid w:val="003A787A"/>
    <w:rsid w:val="003B3B12"/>
    <w:rsid w:val="003D064C"/>
    <w:rsid w:val="003D7B72"/>
    <w:rsid w:val="003E6A68"/>
    <w:rsid w:val="003F2C35"/>
    <w:rsid w:val="00413D27"/>
    <w:rsid w:val="00413FDA"/>
    <w:rsid w:val="0043578D"/>
    <w:rsid w:val="00451BB9"/>
    <w:rsid w:val="00453C82"/>
    <w:rsid w:val="004617E3"/>
    <w:rsid w:val="004619C7"/>
    <w:rsid w:val="00487E33"/>
    <w:rsid w:val="00492343"/>
    <w:rsid w:val="004B1CDD"/>
    <w:rsid w:val="004C08DC"/>
    <w:rsid w:val="004D049E"/>
    <w:rsid w:val="004D0C26"/>
    <w:rsid w:val="004E756B"/>
    <w:rsid w:val="004F1391"/>
    <w:rsid w:val="004F13B6"/>
    <w:rsid w:val="004F4BF1"/>
    <w:rsid w:val="004F57FB"/>
    <w:rsid w:val="0050146C"/>
    <w:rsid w:val="00524880"/>
    <w:rsid w:val="005375BB"/>
    <w:rsid w:val="005406CF"/>
    <w:rsid w:val="005540AD"/>
    <w:rsid w:val="005555E5"/>
    <w:rsid w:val="005661A9"/>
    <w:rsid w:val="005745A6"/>
    <w:rsid w:val="00575FBC"/>
    <w:rsid w:val="00577E9A"/>
    <w:rsid w:val="00591002"/>
    <w:rsid w:val="005930D6"/>
    <w:rsid w:val="005A0C42"/>
    <w:rsid w:val="005A2D49"/>
    <w:rsid w:val="005B27DC"/>
    <w:rsid w:val="005B2F43"/>
    <w:rsid w:val="005D2CEA"/>
    <w:rsid w:val="005E025C"/>
    <w:rsid w:val="005F1CCC"/>
    <w:rsid w:val="00612445"/>
    <w:rsid w:val="00615D52"/>
    <w:rsid w:val="00617D1C"/>
    <w:rsid w:val="00646AB4"/>
    <w:rsid w:val="00655E49"/>
    <w:rsid w:val="006D0652"/>
    <w:rsid w:val="006D6C55"/>
    <w:rsid w:val="006E3B5C"/>
    <w:rsid w:val="006E3E80"/>
    <w:rsid w:val="006E4EE3"/>
    <w:rsid w:val="006E5EE3"/>
    <w:rsid w:val="00717F07"/>
    <w:rsid w:val="00730CE0"/>
    <w:rsid w:val="00734C89"/>
    <w:rsid w:val="00744FC4"/>
    <w:rsid w:val="007551C1"/>
    <w:rsid w:val="00757CED"/>
    <w:rsid w:val="007604D6"/>
    <w:rsid w:val="00760E35"/>
    <w:rsid w:val="00774CE3"/>
    <w:rsid w:val="00783B63"/>
    <w:rsid w:val="00794811"/>
    <w:rsid w:val="007A1160"/>
    <w:rsid w:val="007A59EF"/>
    <w:rsid w:val="007A79AB"/>
    <w:rsid w:val="007B07E0"/>
    <w:rsid w:val="007C7A67"/>
    <w:rsid w:val="007D4E4B"/>
    <w:rsid w:val="007F01CA"/>
    <w:rsid w:val="00803D79"/>
    <w:rsid w:val="00810420"/>
    <w:rsid w:val="00825677"/>
    <w:rsid w:val="00827BAB"/>
    <w:rsid w:val="00847641"/>
    <w:rsid w:val="008779FA"/>
    <w:rsid w:val="008919BD"/>
    <w:rsid w:val="00892E60"/>
    <w:rsid w:val="00895E56"/>
    <w:rsid w:val="008A54FD"/>
    <w:rsid w:val="008A61B6"/>
    <w:rsid w:val="008B3F45"/>
    <w:rsid w:val="008B5306"/>
    <w:rsid w:val="008B69C9"/>
    <w:rsid w:val="008D15EE"/>
    <w:rsid w:val="008D7311"/>
    <w:rsid w:val="008D7B14"/>
    <w:rsid w:val="008E115A"/>
    <w:rsid w:val="008E788B"/>
    <w:rsid w:val="008F7C70"/>
    <w:rsid w:val="00902371"/>
    <w:rsid w:val="009069AD"/>
    <w:rsid w:val="00932D02"/>
    <w:rsid w:val="00935D9B"/>
    <w:rsid w:val="009410E9"/>
    <w:rsid w:val="00941D04"/>
    <w:rsid w:val="009421FE"/>
    <w:rsid w:val="0094333B"/>
    <w:rsid w:val="00953F13"/>
    <w:rsid w:val="00960BEA"/>
    <w:rsid w:val="00965CCC"/>
    <w:rsid w:val="00995259"/>
    <w:rsid w:val="009B433A"/>
    <w:rsid w:val="009B7C26"/>
    <w:rsid w:val="009C0D57"/>
    <w:rsid w:val="009C24DE"/>
    <w:rsid w:val="009C29DC"/>
    <w:rsid w:val="009C7556"/>
    <w:rsid w:val="009F0608"/>
    <w:rsid w:val="00A01F92"/>
    <w:rsid w:val="00A02440"/>
    <w:rsid w:val="00A13534"/>
    <w:rsid w:val="00A17ACF"/>
    <w:rsid w:val="00A35A87"/>
    <w:rsid w:val="00A47387"/>
    <w:rsid w:val="00A51185"/>
    <w:rsid w:val="00A7039C"/>
    <w:rsid w:val="00A72D4B"/>
    <w:rsid w:val="00A74983"/>
    <w:rsid w:val="00A91EB9"/>
    <w:rsid w:val="00A923EF"/>
    <w:rsid w:val="00A93939"/>
    <w:rsid w:val="00AA5E9A"/>
    <w:rsid w:val="00AB2B98"/>
    <w:rsid w:val="00AC1A24"/>
    <w:rsid w:val="00AC470B"/>
    <w:rsid w:val="00AE5A9B"/>
    <w:rsid w:val="00AE6CA7"/>
    <w:rsid w:val="00AE72D0"/>
    <w:rsid w:val="00AF1A28"/>
    <w:rsid w:val="00AF4DBE"/>
    <w:rsid w:val="00B007E9"/>
    <w:rsid w:val="00B0242A"/>
    <w:rsid w:val="00B04A38"/>
    <w:rsid w:val="00B06F19"/>
    <w:rsid w:val="00B1001F"/>
    <w:rsid w:val="00B1373B"/>
    <w:rsid w:val="00B149F6"/>
    <w:rsid w:val="00B229C6"/>
    <w:rsid w:val="00B22B90"/>
    <w:rsid w:val="00B27A79"/>
    <w:rsid w:val="00B30FE8"/>
    <w:rsid w:val="00B33EFA"/>
    <w:rsid w:val="00B45331"/>
    <w:rsid w:val="00B45360"/>
    <w:rsid w:val="00B5460A"/>
    <w:rsid w:val="00B54644"/>
    <w:rsid w:val="00B6324D"/>
    <w:rsid w:val="00B667C8"/>
    <w:rsid w:val="00B73DBC"/>
    <w:rsid w:val="00B826EA"/>
    <w:rsid w:val="00B831A3"/>
    <w:rsid w:val="00B85800"/>
    <w:rsid w:val="00B921E2"/>
    <w:rsid w:val="00BB7F75"/>
    <w:rsid w:val="00BC08EA"/>
    <w:rsid w:val="00C0378E"/>
    <w:rsid w:val="00C112E9"/>
    <w:rsid w:val="00C171FF"/>
    <w:rsid w:val="00C26921"/>
    <w:rsid w:val="00C31BC3"/>
    <w:rsid w:val="00C3366F"/>
    <w:rsid w:val="00C519EB"/>
    <w:rsid w:val="00C7025C"/>
    <w:rsid w:val="00C74480"/>
    <w:rsid w:val="00C83729"/>
    <w:rsid w:val="00C85E70"/>
    <w:rsid w:val="00C93C54"/>
    <w:rsid w:val="00CB5460"/>
    <w:rsid w:val="00CB5B36"/>
    <w:rsid w:val="00CB5C68"/>
    <w:rsid w:val="00CB6662"/>
    <w:rsid w:val="00CC4010"/>
    <w:rsid w:val="00CC79A8"/>
    <w:rsid w:val="00CD2A20"/>
    <w:rsid w:val="00CE4BFA"/>
    <w:rsid w:val="00CE54F9"/>
    <w:rsid w:val="00CF5C20"/>
    <w:rsid w:val="00CF6C48"/>
    <w:rsid w:val="00D004A9"/>
    <w:rsid w:val="00D0302C"/>
    <w:rsid w:val="00D17ECF"/>
    <w:rsid w:val="00D56FE7"/>
    <w:rsid w:val="00D62A9E"/>
    <w:rsid w:val="00D67FB0"/>
    <w:rsid w:val="00D72CA1"/>
    <w:rsid w:val="00D74AB8"/>
    <w:rsid w:val="00D74E90"/>
    <w:rsid w:val="00DA42FE"/>
    <w:rsid w:val="00DC1EC3"/>
    <w:rsid w:val="00DC6DB6"/>
    <w:rsid w:val="00DD26A6"/>
    <w:rsid w:val="00DE4214"/>
    <w:rsid w:val="00DF24B0"/>
    <w:rsid w:val="00E03FEC"/>
    <w:rsid w:val="00E07C46"/>
    <w:rsid w:val="00E16CD0"/>
    <w:rsid w:val="00E250C2"/>
    <w:rsid w:val="00E2758D"/>
    <w:rsid w:val="00E27ADD"/>
    <w:rsid w:val="00E3031E"/>
    <w:rsid w:val="00E37EED"/>
    <w:rsid w:val="00E53CB4"/>
    <w:rsid w:val="00E618FF"/>
    <w:rsid w:val="00E728F0"/>
    <w:rsid w:val="00E867EB"/>
    <w:rsid w:val="00EA20A5"/>
    <w:rsid w:val="00EB63A8"/>
    <w:rsid w:val="00EC3384"/>
    <w:rsid w:val="00ED6177"/>
    <w:rsid w:val="00EF4381"/>
    <w:rsid w:val="00F002DE"/>
    <w:rsid w:val="00F0195B"/>
    <w:rsid w:val="00F02730"/>
    <w:rsid w:val="00F07541"/>
    <w:rsid w:val="00F110D1"/>
    <w:rsid w:val="00F30D42"/>
    <w:rsid w:val="00F32B19"/>
    <w:rsid w:val="00F36D79"/>
    <w:rsid w:val="00F422C3"/>
    <w:rsid w:val="00F44760"/>
    <w:rsid w:val="00F44EEA"/>
    <w:rsid w:val="00F47F99"/>
    <w:rsid w:val="00F57F13"/>
    <w:rsid w:val="00F61905"/>
    <w:rsid w:val="00F6478D"/>
    <w:rsid w:val="00F72F2C"/>
    <w:rsid w:val="00F7767F"/>
    <w:rsid w:val="00F84579"/>
    <w:rsid w:val="00F92415"/>
    <w:rsid w:val="00F9309F"/>
    <w:rsid w:val="00F95169"/>
    <w:rsid w:val="00FA73FE"/>
    <w:rsid w:val="00FB5671"/>
    <w:rsid w:val="00FB6A97"/>
    <w:rsid w:val="00FB6AF8"/>
    <w:rsid w:val="00FC5796"/>
    <w:rsid w:val="00FD0259"/>
    <w:rsid w:val="00FE01EA"/>
    <w:rsid w:val="00FE2EC8"/>
    <w:rsid w:val="00FE3D01"/>
    <w:rsid w:val="00FF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5C"/>
    <w:pPr>
      <w:ind w:firstLine="0"/>
    </w:pPr>
  </w:style>
  <w:style w:type="paragraph" w:styleId="Heading1">
    <w:name w:val="heading 1"/>
    <w:basedOn w:val="Normal"/>
    <w:next w:val="Normal"/>
    <w:link w:val="Heading1Char"/>
    <w:uiPriority w:val="9"/>
    <w:qFormat/>
    <w:rsid w:val="00CB5B3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B5B3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B5B3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B5B3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B5B36"/>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B5B36"/>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B5B36"/>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B5B3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B5B3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3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CB5B3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CB5B3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B5B3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B5B3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B5B3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B5B3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B5B3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B5B3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B5B36"/>
    <w:rPr>
      <w:b/>
      <w:bCs/>
      <w:sz w:val="18"/>
      <w:szCs w:val="18"/>
    </w:rPr>
  </w:style>
  <w:style w:type="paragraph" w:styleId="Title">
    <w:name w:val="Title"/>
    <w:basedOn w:val="Normal"/>
    <w:next w:val="Normal"/>
    <w:link w:val="TitleChar"/>
    <w:uiPriority w:val="10"/>
    <w:qFormat/>
    <w:rsid w:val="00CB5B3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B5B3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B5B36"/>
    <w:pPr>
      <w:spacing w:before="200" w:after="900"/>
      <w:jc w:val="right"/>
    </w:pPr>
    <w:rPr>
      <w:i/>
      <w:iCs/>
      <w:sz w:val="24"/>
      <w:szCs w:val="24"/>
    </w:rPr>
  </w:style>
  <w:style w:type="character" w:customStyle="1" w:styleId="SubtitleChar">
    <w:name w:val="Subtitle Char"/>
    <w:basedOn w:val="DefaultParagraphFont"/>
    <w:link w:val="Subtitle"/>
    <w:uiPriority w:val="11"/>
    <w:rsid w:val="00CB5B36"/>
    <w:rPr>
      <w:i/>
      <w:iCs/>
      <w:sz w:val="24"/>
      <w:szCs w:val="24"/>
    </w:rPr>
  </w:style>
  <w:style w:type="character" w:styleId="Strong">
    <w:name w:val="Strong"/>
    <w:basedOn w:val="DefaultParagraphFont"/>
    <w:uiPriority w:val="22"/>
    <w:qFormat/>
    <w:rsid w:val="00CB5B36"/>
    <w:rPr>
      <w:b/>
      <w:bCs/>
      <w:spacing w:val="0"/>
    </w:rPr>
  </w:style>
  <w:style w:type="character" w:styleId="Emphasis">
    <w:name w:val="Emphasis"/>
    <w:uiPriority w:val="20"/>
    <w:qFormat/>
    <w:rsid w:val="00CB5B36"/>
    <w:rPr>
      <w:b/>
      <w:bCs/>
      <w:i/>
      <w:iCs/>
      <w:color w:val="5A5A5A" w:themeColor="text1" w:themeTint="A5"/>
    </w:rPr>
  </w:style>
  <w:style w:type="paragraph" w:styleId="NoSpacing">
    <w:name w:val="No Spacing"/>
    <w:basedOn w:val="Normal"/>
    <w:link w:val="NoSpacingChar"/>
    <w:uiPriority w:val="1"/>
    <w:qFormat/>
    <w:rsid w:val="00CB5B36"/>
  </w:style>
  <w:style w:type="character" w:customStyle="1" w:styleId="NoSpacingChar">
    <w:name w:val="No Spacing Char"/>
    <w:basedOn w:val="DefaultParagraphFont"/>
    <w:link w:val="NoSpacing"/>
    <w:uiPriority w:val="1"/>
    <w:rsid w:val="00CB5B36"/>
  </w:style>
  <w:style w:type="paragraph" w:styleId="ListParagraph">
    <w:name w:val="List Paragraph"/>
    <w:basedOn w:val="Normal"/>
    <w:uiPriority w:val="34"/>
    <w:qFormat/>
    <w:rsid w:val="00CB5B36"/>
    <w:pPr>
      <w:ind w:left="720"/>
      <w:contextualSpacing/>
    </w:pPr>
  </w:style>
  <w:style w:type="paragraph" w:styleId="Quote">
    <w:name w:val="Quote"/>
    <w:basedOn w:val="Normal"/>
    <w:next w:val="Normal"/>
    <w:link w:val="QuoteChar"/>
    <w:uiPriority w:val="29"/>
    <w:qFormat/>
    <w:rsid w:val="00CB5B3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B5B3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B5B3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B5B3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B5B36"/>
    <w:rPr>
      <w:i/>
      <w:iCs/>
      <w:color w:val="5A5A5A" w:themeColor="text1" w:themeTint="A5"/>
    </w:rPr>
  </w:style>
  <w:style w:type="character" w:styleId="IntenseEmphasis">
    <w:name w:val="Intense Emphasis"/>
    <w:uiPriority w:val="21"/>
    <w:qFormat/>
    <w:rsid w:val="00CB5B36"/>
    <w:rPr>
      <w:b/>
      <w:bCs/>
      <w:i/>
      <w:iCs/>
      <w:color w:val="4F81BD" w:themeColor="accent1"/>
      <w:sz w:val="22"/>
      <w:szCs w:val="22"/>
    </w:rPr>
  </w:style>
  <w:style w:type="character" w:styleId="SubtleReference">
    <w:name w:val="Subtle Reference"/>
    <w:uiPriority w:val="31"/>
    <w:qFormat/>
    <w:rsid w:val="00CB5B36"/>
    <w:rPr>
      <w:color w:val="auto"/>
      <w:u w:val="single" w:color="9BBB59" w:themeColor="accent3"/>
    </w:rPr>
  </w:style>
  <w:style w:type="character" w:styleId="IntenseReference">
    <w:name w:val="Intense Reference"/>
    <w:basedOn w:val="DefaultParagraphFont"/>
    <w:uiPriority w:val="32"/>
    <w:qFormat/>
    <w:rsid w:val="00CB5B36"/>
    <w:rPr>
      <w:b/>
      <w:bCs/>
      <w:color w:val="76923C" w:themeColor="accent3" w:themeShade="BF"/>
      <w:u w:val="single" w:color="9BBB59" w:themeColor="accent3"/>
    </w:rPr>
  </w:style>
  <w:style w:type="character" w:styleId="BookTitle">
    <w:name w:val="Book Title"/>
    <w:basedOn w:val="DefaultParagraphFont"/>
    <w:uiPriority w:val="33"/>
    <w:qFormat/>
    <w:rsid w:val="00CB5B3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B5B36"/>
    <w:pPr>
      <w:outlineLvl w:val="9"/>
    </w:pPr>
    <w:rPr>
      <w:lang w:bidi="en-US"/>
    </w:rPr>
  </w:style>
  <w:style w:type="paragraph" w:styleId="BalloonText">
    <w:name w:val="Balloon Text"/>
    <w:basedOn w:val="Normal"/>
    <w:link w:val="BalloonTextChar"/>
    <w:uiPriority w:val="99"/>
    <w:semiHidden/>
    <w:unhideWhenUsed/>
    <w:rsid w:val="00FA73FE"/>
    <w:rPr>
      <w:rFonts w:ascii="Tahoma" w:hAnsi="Tahoma" w:cs="Tahoma"/>
      <w:sz w:val="16"/>
      <w:szCs w:val="16"/>
    </w:rPr>
  </w:style>
  <w:style w:type="character" w:customStyle="1" w:styleId="BalloonTextChar">
    <w:name w:val="Balloon Text Char"/>
    <w:basedOn w:val="DefaultParagraphFont"/>
    <w:link w:val="BalloonText"/>
    <w:uiPriority w:val="99"/>
    <w:semiHidden/>
    <w:rsid w:val="00FA7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5C"/>
    <w:pPr>
      <w:ind w:firstLine="0"/>
    </w:pPr>
  </w:style>
  <w:style w:type="paragraph" w:styleId="Heading1">
    <w:name w:val="heading 1"/>
    <w:basedOn w:val="Normal"/>
    <w:next w:val="Normal"/>
    <w:link w:val="Heading1Char"/>
    <w:uiPriority w:val="9"/>
    <w:qFormat/>
    <w:rsid w:val="00CB5B3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B5B3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B5B3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B5B3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B5B36"/>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B5B36"/>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B5B36"/>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B5B3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B5B3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3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CB5B3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CB5B3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B5B3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B5B3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B5B3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B5B3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B5B3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B5B3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B5B36"/>
    <w:rPr>
      <w:b/>
      <w:bCs/>
      <w:sz w:val="18"/>
      <w:szCs w:val="18"/>
    </w:rPr>
  </w:style>
  <w:style w:type="paragraph" w:styleId="Title">
    <w:name w:val="Title"/>
    <w:basedOn w:val="Normal"/>
    <w:next w:val="Normal"/>
    <w:link w:val="TitleChar"/>
    <w:uiPriority w:val="10"/>
    <w:qFormat/>
    <w:rsid w:val="00CB5B3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B5B3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B5B36"/>
    <w:pPr>
      <w:spacing w:before="200" w:after="900"/>
      <w:jc w:val="right"/>
    </w:pPr>
    <w:rPr>
      <w:i/>
      <w:iCs/>
      <w:sz w:val="24"/>
      <w:szCs w:val="24"/>
    </w:rPr>
  </w:style>
  <w:style w:type="character" w:customStyle="1" w:styleId="SubtitleChar">
    <w:name w:val="Subtitle Char"/>
    <w:basedOn w:val="DefaultParagraphFont"/>
    <w:link w:val="Subtitle"/>
    <w:uiPriority w:val="11"/>
    <w:rsid w:val="00CB5B36"/>
    <w:rPr>
      <w:i/>
      <w:iCs/>
      <w:sz w:val="24"/>
      <w:szCs w:val="24"/>
    </w:rPr>
  </w:style>
  <w:style w:type="character" w:styleId="Strong">
    <w:name w:val="Strong"/>
    <w:basedOn w:val="DefaultParagraphFont"/>
    <w:uiPriority w:val="22"/>
    <w:qFormat/>
    <w:rsid w:val="00CB5B36"/>
    <w:rPr>
      <w:b/>
      <w:bCs/>
      <w:spacing w:val="0"/>
    </w:rPr>
  </w:style>
  <w:style w:type="character" w:styleId="Emphasis">
    <w:name w:val="Emphasis"/>
    <w:uiPriority w:val="20"/>
    <w:qFormat/>
    <w:rsid w:val="00CB5B36"/>
    <w:rPr>
      <w:b/>
      <w:bCs/>
      <w:i/>
      <w:iCs/>
      <w:color w:val="5A5A5A" w:themeColor="text1" w:themeTint="A5"/>
    </w:rPr>
  </w:style>
  <w:style w:type="paragraph" w:styleId="NoSpacing">
    <w:name w:val="No Spacing"/>
    <w:basedOn w:val="Normal"/>
    <w:link w:val="NoSpacingChar"/>
    <w:uiPriority w:val="1"/>
    <w:qFormat/>
    <w:rsid w:val="00CB5B36"/>
  </w:style>
  <w:style w:type="character" w:customStyle="1" w:styleId="NoSpacingChar">
    <w:name w:val="No Spacing Char"/>
    <w:basedOn w:val="DefaultParagraphFont"/>
    <w:link w:val="NoSpacing"/>
    <w:uiPriority w:val="1"/>
    <w:rsid w:val="00CB5B36"/>
  </w:style>
  <w:style w:type="paragraph" w:styleId="ListParagraph">
    <w:name w:val="List Paragraph"/>
    <w:basedOn w:val="Normal"/>
    <w:uiPriority w:val="34"/>
    <w:qFormat/>
    <w:rsid w:val="00CB5B36"/>
    <w:pPr>
      <w:ind w:left="720"/>
      <w:contextualSpacing/>
    </w:pPr>
  </w:style>
  <w:style w:type="paragraph" w:styleId="Quote">
    <w:name w:val="Quote"/>
    <w:basedOn w:val="Normal"/>
    <w:next w:val="Normal"/>
    <w:link w:val="QuoteChar"/>
    <w:uiPriority w:val="29"/>
    <w:qFormat/>
    <w:rsid w:val="00CB5B3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B5B3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B5B3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B5B3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B5B36"/>
    <w:rPr>
      <w:i/>
      <w:iCs/>
      <w:color w:val="5A5A5A" w:themeColor="text1" w:themeTint="A5"/>
    </w:rPr>
  </w:style>
  <w:style w:type="character" w:styleId="IntenseEmphasis">
    <w:name w:val="Intense Emphasis"/>
    <w:uiPriority w:val="21"/>
    <w:qFormat/>
    <w:rsid w:val="00CB5B36"/>
    <w:rPr>
      <w:b/>
      <w:bCs/>
      <w:i/>
      <w:iCs/>
      <w:color w:val="4F81BD" w:themeColor="accent1"/>
      <w:sz w:val="22"/>
      <w:szCs w:val="22"/>
    </w:rPr>
  </w:style>
  <w:style w:type="character" w:styleId="SubtleReference">
    <w:name w:val="Subtle Reference"/>
    <w:uiPriority w:val="31"/>
    <w:qFormat/>
    <w:rsid w:val="00CB5B36"/>
    <w:rPr>
      <w:color w:val="auto"/>
      <w:u w:val="single" w:color="9BBB59" w:themeColor="accent3"/>
    </w:rPr>
  </w:style>
  <w:style w:type="character" w:styleId="IntenseReference">
    <w:name w:val="Intense Reference"/>
    <w:basedOn w:val="DefaultParagraphFont"/>
    <w:uiPriority w:val="32"/>
    <w:qFormat/>
    <w:rsid w:val="00CB5B36"/>
    <w:rPr>
      <w:b/>
      <w:bCs/>
      <w:color w:val="76923C" w:themeColor="accent3" w:themeShade="BF"/>
      <w:u w:val="single" w:color="9BBB59" w:themeColor="accent3"/>
    </w:rPr>
  </w:style>
  <w:style w:type="character" w:styleId="BookTitle">
    <w:name w:val="Book Title"/>
    <w:basedOn w:val="DefaultParagraphFont"/>
    <w:uiPriority w:val="33"/>
    <w:qFormat/>
    <w:rsid w:val="00CB5B3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B5B36"/>
    <w:pPr>
      <w:outlineLvl w:val="9"/>
    </w:pPr>
    <w:rPr>
      <w:lang w:bidi="en-US"/>
    </w:rPr>
  </w:style>
  <w:style w:type="paragraph" w:styleId="BalloonText">
    <w:name w:val="Balloon Text"/>
    <w:basedOn w:val="Normal"/>
    <w:link w:val="BalloonTextChar"/>
    <w:uiPriority w:val="99"/>
    <w:semiHidden/>
    <w:unhideWhenUsed/>
    <w:rsid w:val="00FA73FE"/>
    <w:rPr>
      <w:rFonts w:ascii="Tahoma" w:hAnsi="Tahoma" w:cs="Tahoma"/>
      <w:sz w:val="16"/>
      <w:szCs w:val="16"/>
    </w:rPr>
  </w:style>
  <w:style w:type="character" w:customStyle="1" w:styleId="BalloonTextChar">
    <w:name w:val="Balloon Text Char"/>
    <w:basedOn w:val="DefaultParagraphFont"/>
    <w:link w:val="BalloonText"/>
    <w:uiPriority w:val="99"/>
    <w:semiHidden/>
    <w:rsid w:val="00FA7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 Muller</dc:creator>
  <cp:lastModifiedBy>DePauw Un</cp:lastModifiedBy>
  <cp:revision>2</cp:revision>
  <dcterms:created xsi:type="dcterms:W3CDTF">2013-05-07T20:07:00Z</dcterms:created>
  <dcterms:modified xsi:type="dcterms:W3CDTF">2013-05-07T20:07:00Z</dcterms:modified>
</cp:coreProperties>
</file>