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59D" w:rsidRDefault="0067159D" w:rsidP="00D720BD">
      <w:pPr>
        <w:jc w:val="center"/>
      </w:pPr>
    </w:p>
    <w:p w:rsidR="0067159D" w:rsidRDefault="0067159D" w:rsidP="00D720BD">
      <w:pPr>
        <w:jc w:val="center"/>
      </w:pPr>
    </w:p>
    <w:p w:rsidR="0067159D" w:rsidRPr="00EE516C" w:rsidRDefault="0067159D" w:rsidP="00D720BD">
      <w:pPr>
        <w:jc w:val="center"/>
        <w:rPr>
          <w:sz w:val="22"/>
        </w:rPr>
      </w:pPr>
      <w:r w:rsidRPr="00EE516C">
        <w:rPr>
          <w:sz w:val="22"/>
        </w:rPr>
        <w:t>POLS 360 (390)</w:t>
      </w:r>
    </w:p>
    <w:p w:rsidR="0067159D" w:rsidRPr="00EE516C" w:rsidRDefault="0067159D" w:rsidP="00D720BD">
      <w:pPr>
        <w:jc w:val="center"/>
        <w:rPr>
          <w:sz w:val="22"/>
        </w:rPr>
      </w:pPr>
      <w:r w:rsidRPr="00EE516C">
        <w:rPr>
          <w:sz w:val="22"/>
        </w:rPr>
        <w:t>Africa &amp; World Politics</w:t>
      </w:r>
    </w:p>
    <w:p w:rsidR="0067159D" w:rsidRPr="00EE516C" w:rsidRDefault="0067159D" w:rsidP="00D720BD">
      <w:pPr>
        <w:jc w:val="center"/>
        <w:rPr>
          <w:sz w:val="22"/>
        </w:rPr>
      </w:pPr>
    </w:p>
    <w:p w:rsidR="00D720BD" w:rsidRPr="00EE516C" w:rsidRDefault="00D720BD" w:rsidP="00D720BD">
      <w:pPr>
        <w:jc w:val="center"/>
        <w:rPr>
          <w:sz w:val="22"/>
        </w:rPr>
      </w:pPr>
      <w:r w:rsidRPr="00EE516C">
        <w:rPr>
          <w:sz w:val="22"/>
        </w:rPr>
        <w:t>COURSE OBJECTIVES</w:t>
      </w:r>
    </w:p>
    <w:p w:rsidR="00D720BD" w:rsidRPr="00EE516C" w:rsidRDefault="00D720BD" w:rsidP="00D720BD">
      <w:pPr>
        <w:rPr>
          <w:sz w:val="22"/>
        </w:rPr>
      </w:pPr>
    </w:p>
    <w:p w:rsidR="00D720BD" w:rsidRPr="00EE516C" w:rsidRDefault="00D720BD" w:rsidP="00D720BD">
      <w:pPr>
        <w:rPr>
          <w:sz w:val="22"/>
        </w:rPr>
      </w:pPr>
      <w:r w:rsidRPr="00EE516C">
        <w:rPr>
          <w:sz w:val="22"/>
        </w:rPr>
        <w:t xml:space="preserve">If you are like most people, you know next to nothing about Africa. The first objective of this course is to remedy that. If you have taken other courses that deal with Africa, I hope to add to your understanding by focusing on a select few issues and problems that concern students of African politics. This class will focus largely on </w:t>
      </w:r>
      <w:r w:rsidRPr="00EE516C">
        <w:rPr>
          <w:i/>
          <w:sz w:val="22"/>
        </w:rPr>
        <w:t>contemporary</w:t>
      </w:r>
      <w:r w:rsidRPr="00EE516C">
        <w:rPr>
          <w:sz w:val="22"/>
        </w:rPr>
        <w:t xml:space="preserve"> African politics, but no understanding of where we are now is complete without an appreciation of where we’ve been. Thus, throughout the course the weight of the past will be present in our deliberations on the current state of African politics, broadly understood. </w:t>
      </w:r>
    </w:p>
    <w:p w:rsidR="00D720BD" w:rsidRPr="00EE516C" w:rsidRDefault="00D720BD" w:rsidP="00D720BD">
      <w:pPr>
        <w:rPr>
          <w:sz w:val="22"/>
        </w:rPr>
      </w:pPr>
    </w:p>
    <w:p w:rsidR="00D720BD" w:rsidRPr="00EE516C" w:rsidRDefault="00D720BD" w:rsidP="00D720BD">
      <w:pPr>
        <w:rPr>
          <w:sz w:val="22"/>
        </w:rPr>
      </w:pPr>
      <w:r w:rsidRPr="00EE516C">
        <w:rPr>
          <w:sz w:val="22"/>
        </w:rPr>
        <w:t xml:space="preserve">The principal concerns we address are the problem of power (how it is constituted, how it gets exercised, and its role in regime change, etc.), violent conflict (its prevalence, its origins, and its management), political and economic development, relations between state and society, and Africa in the changing international political economy. </w:t>
      </w:r>
    </w:p>
    <w:p w:rsidR="00D720BD" w:rsidRPr="00EE516C" w:rsidRDefault="00D720BD" w:rsidP="00D720BD">
      <w:pPr>
        <w:rPr>
          <w:sz w:val="22"/>
        </w:rPr>
      </w:pPr>
    </w:p>
    <w:p w:rsidR="00D720BD" w:rsidRPr="00EE516C" w:rsidRDefault="00D720BD" w:rsidP="00D720BD">
      <w:pPr>
        <w:jc w:val="center"/>
        <w:rPr>
          <w:sz w:val="22"/>
        </w:rPr>
      </w:pPr>
      <w:r w:rsidRPr="00EE516C">
        <w:rPr>
          <w:sz w:val="22"/>
        </w:rPr>
        <w:t>GRADES</w:t>
      </w:r>
    </w:p>
    <w:p w:rsidR="00D720BD" w:rsidRPr="00EE516C" w:rsidRDefault="00D720BD" w:rsidP="00D720BD">
      <w:pPr>
        <w:rPr>
          <w:sz w:val="22"/>
        </w:rPr>
      </w:pPr>
    </w:p>
    <w:p w:rsidR="00D720BD" w:rsidRPr="00EE516C" w:rsidRDefault="00D720BD" w:rsidP="00D720BD">
      <w:pPr>
        <w:rPr>
          <w:sz w:val="22"/>
        </w:rPr>
      </w:pPr>
      <w:r w:rsidRPr="00EE516C">
        <w:rPr>
          <w:sz w:val="22"/>
        </w:rPr>
        <w:t xml:space="preserve">There are four areas of graded performance. </w:t>
      </w:r>
    </w:p>
    <w:p w:rsidR="00D720BD" w:rsidRPr="00EE516C" w:rsidRDefault="00D720BD" w:rsidP="00D720BD">
      <w:pPr>
        <w:rPr>
          <w:sz w:val="22"/>
        </w:rPr>
      </w:pPr>
    </w:p>
    <w:p w:rsidR="00D720BD" w:rsidRPr="00EE516C" w:rsidRDefault="00D720BD" w:rsidP="00D720BD">
      <w:pPr>
        <w:rPr>
          <w:sz w:val="22"/>
        </w:rPr>
      </w:pPr>
      <w:r w:rsidRPr="00EE516C">
        <w:rPr>
          <w:sz w:val="22"/>
          <w:u w:val="single"/>
        </w:rPr>
        <w:t>Reflection papers:</w:t>
      </w:r>
      <w:r w:rsidRPr="00EE516C">
        <w:rPr>
          <w:sz w:val="22"/>
        </w:rPr>
        <w:t xml:space="preserve"> At three points in the semester you will be required to submit a 3-5 page essay outlining and commenting critically on the preceding section of reading. The papers will allow </w:t>
      </w:r>
      <w:proofErr w:type="gramStart"/>
      <w:r w:rsidRPr="00EE516C">
        <w:rPr>
          <w:sz w:val="22"/>
        </w:rPr>
        <w:t>me</w:t>
      </w:r>
      <w:proofErr w:type="gramEnd"/>
      <w:r w:rsidRPr="00EE516C">
        <w:rPr>
          <w:sz w:val="22"/>
        </w:rPr>
        <w:t xml:space="preserve"> to gauge the level of your comprehension of the reading material. Additionally, there will likely be much in the reading we will not have time to discuss in class. These will be your opportunities to engage with that material. Each paper is worth 10% of the final grade. </w:t>
      </w:r>
    </w:p>
    <w:p w:rsidR="00D720BD" w:rsidRPr="00EE516C" w:rsidRDefault="00D720BD" w:rsidP="00D720BD">
      <w:pPr>
        <w:rPr>
          <w:sz w:val="22"/>
        </w:rPr>
      </w:pPr>
    </w:p>
    <w:p w:rsidR="00D720BD" w:rsidRPr="00EE516C" w:rsidRDefault="00D720BD" w:rsidP="00D720BD">
      <w:pPr>
        <w:rPr>
          <w:sz w:val="22"/>
        </w:rPr>
      </w:pPr>
      <w:r w:rsidRPr="00EE516C">
        <w:rPr>
          <w:sz w:val="22"/>
          <w:u w:val="single"/>
        </w:rPr>
        <w:t>Tests</w:t>
      </w:r>
      <w:r w:rsidRPr="00EE516C">
        <w:rPr>
          <w:sz w:val="22"/>
        </w:rPr>
        <w:t xml:space="preserve">: There will be two tests and one final examination. Tests 1 and 2 are worth 12.5 each.  The final examination is worth 15% of the grade.  </w:t>
      </w:r>
    </w:p>
    <w:p w:rsidR="00D720BD" w:rsidRPr="00EE516C" w:rsidRDefault="00D720BD" w:rsidP="00D720BD">
      <w:pPr>
        <w:rPr>
          <w:sz w:val="22"/>
        </w:rPr>
      </w:pPr>
    </w:p>
    <w:p w:rsidR="00D720BD" w:rsidRPr="00EE516C" w:rsidRDefault="00D720BD" w:rsidP="00D720BD">
      <w:pPr>
        <w:rPr>
          <w:sz w:val="22"/>
        </w:rPr>
      </w:pPr>
      <w:r w:rsidRPr="00EE516C">
        <w:rPr>
          <w:sz w:val="22"/>
          <w:u w:val="single"/>
        </w:rPr>
        <w:t>The research paper</w:t>
      </w:r>
      <w:r w:rsidRPr="00EE516C">
        <w:rPr>
          <w:sz w:val="22"/>
        </w:rPr>
        <w:t xml:space="preserve">: You will be required to submit </w:t>
      </w:r>
      <w:proofErr w:type="gramStart"/>
      <w:r w:rsidRPr="00EE516C">
        <w:rPr>
          <w:sz w:val="22"/>
        </w:rPr>
        <w:t>a 15-20 page, double-spaced, typewritten research paper on any topic related to contemporary African politics</w:t>
      </w:r>
      <w:proofErr w:type="gramEnd"/>
      <w:r w:rsidRPr="00EE516C">
        <w:rPr>
          <w:sz w:val="22"/>
        </w:rPr>
        <w:t xml:space="preserve">. I will discuss in class the specific requirements for the paper, including the process for gaining approval of your topic. However, it is important that you realize early that the project </w:t>
      </w:r>
      <w:r w:rsidRPr="00EE516C">
        <w:rPr>
          <w:i/>
          <w:sz w:val="22"/>
        </w:rPr>
        <w:t>has three components</w:t>
      </w:r>
      <w:r w:rsidRPr="00EE516C">
        <w:rPr>
          <w:sz w:val="22"/>
        </w:rPr>
        <w:t xml:space="preserve">. </w:t>
      </w:r>
    </w:p>
    <w:p w:rsidR="00D720BD" w:rsidRPr="00EE516C" w:rsidRDefault="00D720BD" w:rsidP="00D720BD">
      <w:pPr>
        <w:rPr>
          <w:sz w:val="22"/>
        </w:rPr>
      </w:pPr>
    </w:p>
    <w:p w:rsidR="00D720BD" w:rsidRPr="00EE516C" w:rsidRDefault="00D720BD" w:rsidP="00D720BD">
      <w:pPr>
        <w:numPr>
          <w:ilvl w:val="0"/>
          <w:numId w:val="1"/>
        </w:numPr>
        <w:rPr>
          <w:sz w:val="22"/>
        </w:rPr>
      </w:pPr>
      <w:r w:rsidRPr="00EE516C">
        <w:rPr>
          <w:sz w:val="22"/>
        </w:rPr>
        <w:t xml:space="preserve">First, a one-page, single-spaced typed written précis will be submitted no later than </w:t>
      </w:r>
      <w:r w:rsidRPr="00EE516C">
        <w:rPr>
          <w:b/>
          <w:bCs/>
          <w:sz w:val="22"/>
        </w:rPr>
        <w:t>October 14</w:t>
      </w:r>
      <w:r w:rsidRPr="00EE516C">
        <w:rPr>
          <w:sz w:val="22"/>
        </w:rPr>
        <w:t>. The précis will lay out the research question you wish to explore, what types of materials you expect to use and how these materials will help you answer the question. The précis is my opportunity to approve the topic you have chosen. (2%)</w:t>
      </w:r>
    </w:p>
    <w:p w:rsidR="00D720BD" w:rsidRPr="00EE516C" w:rsidRDefault="00D720BD" w:rsidP="00D720BD">
      <w:pPr>
        <w:numPr>
          <w:ilvl w:val="0"/>
          <w:numId w:val="1"/>
        </w:numPr>
        <w:rPr>
          <w:sz w:val="22"/>
        </w:rPr>
      </w:pPr>
      <w:r w:rsidRPr="00EE516C">
        <w:rPr>
          <w:sz w:val="22"/>
        </w:rPr>
        <w:t xml:space="preserve">Second, an annotated bibliography is due on </w:t>
      </w:r>
      <w:r w:rsidRPr="00EE516C">
        <w:rPr>
          <w:b/>
          <w:bCs/>
          <w:sz w:val="22"/>
        </w:rPr>
        <w:t>November 22</w:t>
      </w:r>
      <w:r w:rsidRPr="00EE516C">
        <w:rPr>
          <w:sz w:val="22"/>
        </w:rPr>
        <w:t xml:space="preserve">. The bibliography will summarize each entry and indicate </w:t>
      </w:r>
      <w:r w:rsidRPr="00EE516C">
        <w:rPr>
          <w:i/>
          <w:iCs/>
          <w:sz w:val="22"/>
        </w:rPr>
        <w:t>how</w:t>
      </w:r>
      <w:r w:rsidRPr="00EE516C">
        <w:rPr>
          <w:sz w:val="22"/>
        </w:rPr>
        <w:t xml:space="preserve"> the entry is supportive (or perhaps even contradictory) of your thesis. (3%) </w:t>
      </w:r>
    </w:p>
    <w:p w:rsidR="00D720BD" w:rsidRPr="00EE516C" w:rsidRDefault="00D720BD" w:rsidP="00D720BD">
      <w:pPr>
        <w:numPr>
          <w:ilvl w:val="0"/>
          <w:numId w:val="1"/>
        </w:numPr>
        <w:rPr>
          <w:sz w:val="22"/>
        </w:rPr>
      </w:pPr>
      <w:r w:rsidRPr="00EE516C">
        <w:rPr>
          <w:sz w:val="22"/>
        </w:rPr>
        <w:t xml:space="preserve">Third, the final paper is due </w:t>
      </w:r>
      <w:r w:rsidRPr="00EE516C">
        <w:rPr>
          <w:b/>
          <w:bCs/>
          <w:sz w:val="22"/>
        </w:rPr>
        <w:t>on the last day of class</w:t>
      </w:r>
      <w:r w:rsidRPr="00EE516C">
        <w:rPr>
          <w:sz w:val="22"/>
        </w:rPr>
        <w:t xml:space="preserve">. (15%) </w:t>
      </w:r>
    </w:p>
    <w:p w:rsidR="00B42533" w:rsidRDefault="00B42533" w:rsidP="00D720BD">
      <w:pPr>
        <w:rPr>
          <w:sz w:val="22"/>
          <w:u w:val="single"/>
        </w:rPr>
      </w:pPr>
    </w:p>
    <w:p w:rsidR="00D720BD" w:rsidRPr="00EE516C" w:rsidRDefault="00D720BD" w:rsidP="00D720BD">
      <w:pPr>
        <w:rPr>
          <w:sz w:val="22"/>
        </w:rPr>
      </w:pPr>
      <w:r w:rsidRPr="00EE516C">
        <w:rPr>
          <w:sz w:val="22"/>
          <w:u w:val="single"/>
        </w:rPr>
        <w:lastRenderedPageBreak/>
        <w:t>Participation</w:t>
      </w:r>
      <w:r w:rsidRPr="00EE516C">
        <w:rPr>
          <w:sz w:val="22"/>
        </w:rPr>
        <w:t>: This is a requirement. I have no formal attendance policy, but I expect you to come to class, to come prepared to engage with the material (e.g., ask and answer questions related to assigned material). Participation accounts for 10% of the final grade.</w:t>
      </w:r>
    </w:p>
    <w:p w:rsidR="00D720BD" w:rsidRPr="00EE516C" w:rsidRDefault="00D720BD" w:rsidP="00D720BD">
      <w:pPr>
        <w:rPr>
          <w:sz w:val="22"/>
        </w:rPr>
      </w:pPr>
    </w:p>
    <w:p w:rsidR="00D720BD" w:rsidRPr="00EE516C" w:rsidRDefault="00D720BD" w:rsidP="00D720BD">
      <w:pPr>
        <w:rPr>
          <w:sz w:val="22"/>
        </w:rPr>
      </w:pPr>
      <w:r w:rsidRPr="00EE516C">
        <w:rPr>
          <w:sz w:val="22"/>
        </w:rPr>
        <w:t xml:space="preserve">Summary: </w:t>
      </w:r>
    </w:p>
    <w:p w:rsidR="00D720BD" w:rsidRPr="00EE516C" w:rsidRDefault="00D720BD" w:rsidP="00D720BD">
      <w:pPr>
        <w:rPr>
          <w:sz w:val="22"/>
        </w:rPr>
      </w:pPr>
      <w:r w:rsidRPr="00EE516C">
        <w:rPr>
          <w:sz w:val="22"/>
        </w:rPr>
        <w:t xml:space="preserve">Reflection Papers </w:t>
      </w:r>
      <w:r w:rsidRPr="00EE516C">
        <w:rPr>
          <w:sz w:val="22"/>
        </w:rPr>
        <w:tab/>
      </w:r>
      <w:r w:rsidRPr="00EE516C">
        <w:rPr>
          <w:sz w:val="22"/>
        </w:rPr>
        <w:tab/>
      </w:r>
      <w:r w:rsidRPr="00EE516C">
        <w:rPr>
          <w:sz w:val="22"/>
        </w:rPr>
        <w:tab/>
        <w:t>30%</w:t>
      </w:r>
    </w:p>
    <w:p w:rsidR="00D720BD" w:rsidRPr="00EE516C" w:rsidRDefault="00D720BD" w:rsidP="00D720BD">
      <w:pPr>
        <w:rPr>
          <w:sz w:val="22"/>
        </w:rPr>
      </w:pPr>
      <w:r w:rsidRPr="00EE516C">
        <w:rPr>
          <w:sz w:val="22"/>
        </w:rPr>
        <w:t xml:space="preserve">Tests </w:t>
      </w:r>
      <w:r w:rsidRPr="00EE516C">
        <w:rPr>
          <w:sz w:val="22"/>
        </w:rPr>
        <w:tab/>
      </w:r>
      <w:r w:rsidRPr="00EE516C">
        <w:rPr>
          <w:sz w:val="22"/>
        </w:rPr>
        <w:tab/>
      </w:r>
      <w:r w:rsidRPr="00EE516C">
        <w:rPr>
          <w:sz w:val="22"/>
        </w:rPr>
        <w:tab/>
      </w:r>
      <w:r w:rsidRPr="00EE516C">
        <w:rPr>
          <w:sz w:val="22"/>
        </w:rPr>
        <w:tab/>
      </w:r>
      <w:r w:rsidRPr="00EE516C">
        <w:rPr>
          <w:sz w:val="22"/>
        </w:rPr>
        <w:tab/>
        <w:t>40%</w:t>
      </w:r>
    </w:p>
    <w:p w:rsidR="00D720BD" w:rsidRPr="00EE516C" w:rsidRDefault="00D720BD" w:rsidP="00D720BD">
      <w:pPr>
        <w:rPr>
          <w:sz w:val="22"/>
        </w:rPr>
      </w:pPr>
      <w:r w:rsidRPr="00EE516C">
        <w:rPr>
          <w:sz w:val="22"/>
        </w:rPr>
        <w:t xml:space="preserve">Research Paper </w:t>
      </w:r>
      <w:r w:rsidRPr="00EE516C">
        <w:rPr>
          <w:sz w:val="22"/>
        </w:rPr>
        <w:tab/>
      </w:r>
      <w:r w:rsidRPr="00EE516C">
        <w:rPr>
          <w:sz w:val="22"/>
        </w:rPr>
        <w:tab/>
      </w:r>
      <w:r w:rsidRPr="00EE516C">
        <w:rPr>
          <w:sz w:val="22"/>
        </w:rPr>
        <w:tab/>
        <w:t>20%</w:t>
      </w:r>
    </w:p>
    <w:p w:rsidR="00D720BD" w:rsidRPr="00EE516C" w:rsidRDefault="00D720BD" w:rsidP="00D720BD">
      <w:pPr>
        <w:rPr>
          <w:sz w:val="22"/>
        </w:rPr>
      </w:pPr>
      <w:r w:rsidRPr="00EE516C">
        <w:rPr>
          <w:sz w:val="22"/>
        </w:rPr>
        <w:t>Participation</w:t>
      </w:r>
      <w:r w:rsidRPr="00EE516C">
        <w:rPr>
          <w:sz w:val="22"/>
        </w:rPr>
        <w:tab/>
      </w:r>
      <w:r w:rsidRPr="00EE516C">
        <w:rPr>
          <w:sz w:val="22"/>
        </w:rPr>
        <w:tab/>
      </w:r>
      <w:r w:rsidRPr="00EE516C">
        <w:rPr>
          <w:sz w:val="22"/>
        </w:rPr>
        <w:tab/>
      </w:r>
      <w:r w:rsidRPr="00EE516C">
        <w:rPr>
          <w:sz w:val="22"/>
        </w:rPr>
        <w:tab/>
        <w:t>10%</w:t>
      </w:r>
    </w:p>
    <w:p w:rsidR="00D720BD" w:rsidRPr="00EE516C" w:rsidRDefault="00D720BD" w:rsidP="00D720BD">
      <w:pPr>
        <w:rPr>
          <w:sz w:val="22"/>
        </w:rPr>
      </w:pPr>
    </w:p>
    <w:p w:rsidR="00D720BD" w:rsidRPr="00EE516C" w:rsidRDefault="00D720BD" w:rsidP="00D720BD">
      <w:pPr>
        <w:jc w:val="center"/>
        <w:rPr>
          <w:sz w:val="22"/>
        </w:rPr>
      </w:pPr>
      <w:r w:rsidRPr="00EE516C">
        <w:rPr>
          <w:sz w:val="22"/>
        </w:rPr>
        <w:t>ACADEMIC INTEGRITY</w:t>
      </w:r>
    </w:p>
    <w:p w:rsidR="00D720BD" w:rsidRPr="00EE516C" w:rsidRDefault="00D720BD" w:rsidP="00D720BD">
      <w:pPr>
        <w:rPr>
          <w:sz w:val="22"/>
        </w:rPr>
      </w:pPr>
      <w:r w:rsidRPr="00EE516C">
        <w:rPr>
          <w:sz w:val="22"/>
        </w:rPr>
        <w:t xml:space="preserve">From the Student Handbook: </w:t>
      </w:r>
    </w:p>
    <w:p w:rsidR="00D720BD" w:rsidRPr="00EE516C" w:rsidRDefault="00D720BD" w:rsidP="00D720BD">
      <w:pPr>
        <w:rPr>
          <w:sz w:val="22"/>
        </w:rPr>
      </w:pPr>
    </w:p>
    <w:p w:rsidR="00D720BD" w:rsidRPr="00EE516C" w:rsidRDefault="00D720BD" w:rsidP="00D720BD">
      <w:pPr>
        <w:rPr>
          <w:sz w:val="22"/>
        </w:rPr>
      </w:pPr>
      <w:r w:rsidRPr="00EE516C">
        <w:rPr>
          <w:sz w:val="22"/>
        </w:rPr>
        <w:t>“Academic integrity refers to the ethical standards and policies that govern how people work and interact in the academic enterprise at a college or university. These standards and policies attempt to do more than define and condemn what is wrong or unethical; they also attempt to provide a foundation for the mutual trust and individual responsibility necessary in a healthy academic community….</w:t>
      </w:r>
    </w:p>
    <w:p w:rsidR="00D720BD" w:rsidRPr="00EE516C" w:rsidRDefault="00D720BD" w:rsidP="00D720BD">
      <w:pPr>
        <w:rPr>
          <w:sz w:val="22"/>
        </w:rPr>
      </w:pPr>
    </w:p>
    <w:p w:rsidR="00D720BD" w:rsidRPr="00EE516C" w:rsidRDefault="00D720BD" w:rsidP="00D720BD">
      <w:pPr>
        <w:rPr>
          <w:sz w:val="22"/>
        </w:rPr>
      </w:pPr>
      <w:r w:rsidRPr="00EE516C">
        <w:rPr>
          <w:sz w:val="22"/>
        </w:rPr>
        <w:t>Academic integrity is not solely the responsibility of students. Rather, faculty members and administrators have the responsibility of creating an environment in which honesty is encouraged, dishonesty discouraged and integrity is openly discussed.”</w:t>
      </w:r>
    </w:p>
    <w:p w:rsidR="00D720BD" w:rsidRPr="00EE516C" w:rsidRDefault="00D720BD" w:rsidP="00D720BD">
      <w:pPr>
        <w:rPr>
          <w:sz w:val="22"/>
        </w:rPr>
      </w:pPr>
    </w:p>
    <w:p w:rsidR="00D720BD" w:rsidRPr="00EE516C" w:rsidRDefault="00D720BD" w:rsidP="00D720BD">
      <w:pPr>
        <w:rPr>
          <w:sz w:val="22"/>
        </w:rPr>
      </w:pPr>
      <w:r w:rsidRPr="00EE516C">
        <w:rPr>
          <w:sz w:val="22"/>
        </w:rPr>
        <w:t xml:space="preserve">From Charles Lipson, </w:t>
      </w:r>
      <w:r w:rsidRPr="00EE516C">
        <w:rPr>
          <w:i/>
          <w:sz w:val="22"/>
        </w:rPr>
        <w:t>Doing Honest Work in College</w:t>
      </w:r>
      <w:r w:rsidRPr="00EE516C">
        <w:rPr>
          <w:sz w:val="22"/>
        </w:rPr>
        <w:t xml:space="preserve">: </w:t>
      </w:r>
    </w:p>
    <w:p w:rsidR="00D720BD" w:rsidRPr="00EE516C" w:rsidRDefault="00D720BD" w:rsidP="00D720BD">
      <w:pPr>
        <w:ind w:left="720" w:right="1440"/>
        <w:rPr>
          <w:sz w:val="22"/>
        </w:rPr>
      </w:pPr>
    </w:p>
    <w:p w:rsidR="00D720BD" w:rsidRPr="00EE516C" w:rsidRDefault="00D720BD" w:rsidP="00D720BD">
      <w:pPr>
        <w:ind w:left="720" w:right="1440"/>
        <w:rPr>
          <w:sz w:val="22"/>
        </w:rPr>
      </w:pPr>
      <w:r w:rsidRPr="00EE516C">
        <w:rPr>
          <w:sz w:val="22"/>
        </w:rPr>
        <w:t>Academic honesty boils down to three simple but powerful principles:</w:t>
      </w:r>
    </w:p>
    <w:p w:rsidR="00D720BD" w:rsidRPr="00EE516C" w:rsidRDefault="00D720BD" w:rsidP="00D720BD">
      <w:pPr>
        <w:ind w:left="720" w:right="1440"/>
        <w:rPr>
          <w:sz w:val="22"/>
        </w:rPr>
      </w:pPr>
    </w:p>
    <w:p w:rsidR="00D720BD" w:rsidRPr="00EE516C" w:rsidRDefault="00D720BD" w:rsidP="00D720BD">
      <w:pPr>
        <w:numPr>
          <w:ilvl w:val="0"/>
          <w:numId w:val="2"/>
        </w:numPr>
        <w:ind w:left="1440" w:right="1440"/>
        <w:rPr>
          <w:sz w:val="22"/>
        </w:rPr>
      </w:pPr>
      <w:r w:rsidRPr="00EE516C">
        <w:rPr>
          <w:sz w:val="22"/>
        </w:rPr>
        <w:t>When you say you did the work yourself, you actually did it.</w:t>
      </w:r>
    </w:p>
    <w:p w:rsidR="00D720BD" w:rsidRPr="00EE516C" w:rsidRDefault="00D720BD" w:rsidP="00D720BD">
      <w:pPr>
        <w:numPr>
          <w:ilvl w:val="0"/>
          <w:numId w:val="2"/>
        </w:numPr>
        <w:ind w:left="1440" w:right="1440"/>
        <w:rPr>
          <w:sz w:val="22"/>
        </w:rPr>
      </w:pPr>
      <w:r w:rsidRPr="00EE516C">
        <w:rPr>
          <w:sz w:val="22"/>
        </w:rPr>
        <w:t>When you rely on someone else’s work, you cite it. When you use their words, you quote them accurately, and you cite them, too.</w:t>
      </w:r>
    </w:p>
    <w:p w:rsidR="00D720BD" w:rsidRPr="00EE516C" w:rsidRDefault="00D720BD" w:rsidP="00D720BD">
      <w:pPr>
        <w:numPr>
          <w:ilvl w:val="0"/>
          <w:numId w:val="2"/>
        </w:numPr>
        <w:ind w:left="1440" w:right="1440"/>
        <w:rPr>
          <w:sz w:val="22"/>
        </w:rPr>
      </w:pPr>
      <w:r w:rsidRPr="00EE516C">
        <w:rPr>
          <w:sz w:val="22"/>
        </w:rPr>
        <w:t xml:space="preserve">When you present research materials, you present them fairly and truthfully. That’s true whether the research involves data, documents, or the writings of other scholars. </w:t>
      </w:r>
    </w:p>
    <w:p w:rsidR="00D720BD" w:rsidRPr="00EE516C" w:rsidRDefault="00D720BD" w:rsidP="00D720BD">
      <w:pPr>
        <w:rPr>
          <w:sz w:val="22"/>
        </w:rPr>
      </w:pPr>
    </w:p>
    <w:p w:rsidR="00D720BD" w:rsidRPr="00EE516C" w:rsidRDefault="00D720BD" w:rsidP="00D720BD">
      <w:pPr>
        <w:rPr>
          <w:sz w:val="22"/>
        </w:rPr>
      </w:pPr>
      <w:r w:rsidRPr="00EE516C">
        <w:rPr>
          <w:sz w:val="22"/>
        </w:rPr>
        <w:t xml:space="preserve">Consistent with these remarks, please understand that I view academic integrity as the moral foundation of the university experience. In recent years the presumption of integrity has suffered some very serious blows. A professor at Mount Holyoke College admitted he falsified information in his lectures regarding service in the US Armed Forces during the Vietnam War. He was subsequently suspended from the college. More recently, noted historian Stephen Ambrose admitted to using without proper attribution sentences and phrases from others’ work in his book </w:t>
      </w:r>
      <w:r w:rsidRPr="00EE516C">
        <w:rPr>
          <w:i/>
          <w:sz w:val="22"/>
        </w:rPr>
        <w:t>The Wild Blue</w:t>
      </w:r>
      <w:r w:rsidRPr="00EE516C">
        <w:rPr>
          <w:sz w:val="22"/>
        </w:rPr>
        <w:t xml:space="preserve">. It would seem we have a problem of national scope. </w:t>
      </w:r>
    </w:p>
    <w:p w:rsidR="00D720BD" w:rsidRPr="00EE516C" w:rsidRDefault="00D720BD" w:rsidP="00D720BD">
      <w:pPr>
        <w:rPr>
          <w:sz w:val="22"/>
        </w:rPr>
      </w:pPr>
    </w:p>
    <w:p w:rsidR="00D720BD" w:rsidRPr="00EE516C" w:rsidRDefault="00D720BD" w:rsidP="00D720BD">
      <w:pPr>
        <w:rPr>
          <w:sz w:val="22"/>
        </w:rPr>
      </w:pPr>
      <w:r w:rsidRPr="00EE516C">
        <w:rPr>
          <w:sz w:val="22"/>
        </w:rPr>
        <w:t xml:space="preserve">We cannot be responsible for what others may do, but we can see to it that our own efforts are of the highest caliber. To pursue such a course, we must be familiar with the University’s policy regarding Academic Integrity. In this, as in all my courses, I apply the University’s policy fully. In short, no violation of the integrity policy will be excused.  </w:t>
      </w:r>
    </w:p>
    <w:p w:rsidR="00B42533" w:rsidRDefault="00B42533" w:rsidP="00D720BD">
      <w:pPr>
        <w:rPr>
          <w:sz w:val="22"/>
        </w:rPr>
      </w:pPr>
    </w:p>
    <w:p w:rsidR="00D720BD" w:rsidRPr="00EE516C" w:rsidRDefault="00D720BD" w:rsidP="00D720BD">
      <w:pPr>
        <w:rPr>
          <w:sz w:val="22"/>
        </w:rPr>
      </w:pPr>
    </w:p>
    <w:p w:rsidR="00D720BD" w:rsidRPr="00EE516C" w:rsidRDefault="00D720BD" w:rsidP="00D720BD">
      <w:pPr>
        <w:jc w:val="center"/>
        <w:rPr>
          <w:sz w:val="22"/>
        </w:rPr>
      </w:pPr>
      <w:r w:rsidRPr="00EE516C">
        <w:rPr>
          <w:sz w:val="22"/>
        </w:rPr>
        <w:t>READINGS REQUIRED FOR PURCHASE</w:t>
      </w:r>
    </w:p>
    <w:p w:rsidR="00D720BD" w:rsidRPr="00EE516C" w:rsidRDefault="00D720BD" w:rsidP="00D720BD">
      <w:pPr>
        <w:rPr>
          <w:sz w:val="22"/>
        </w:rPr>
      </w:pPr>
    </w:p>
    <w:p w:rsidR="00D720BD" w:rsidRPr="00EE516C" w:rsidRDefault="00D720BD" w:rsidP="00D720BD">
      <w:pPr>
        <w:rPr>
          <w:sz w:val="22"/>
        </w:rPr>
      </w:pPr>
      <w:r w:rsidRPr="00EE516C">
        <w:rPr>
          <w:sz w:val="22"/>
        </w:rPr>
        <w:t xml:space="preserve">Much of the reading for this class is found posted on the </w:t>
      </w:r>
      <w:proofErr w:type="spellStart"/>
      <w:r w:rsidRPr="00EE516C">
        <w:rPr>
          <w:sz w:val="22"/>
        </w:rPr>
        <w:t>Moodle</w:t>
      </w:r>
      <w:proofErr w:type="spellEnd"/>
      <w:r w:rsidRPr="00EE516C">
        <w:rPr>
          <w:sz w:val="22"/>
        </w:rPr>
        <w:t xml:space="preserve"> site. There are, however, four books for you to purchase. They are available at the University Bookstore and, of course, online. </w:t>
      </w:r>
    </w:p>
    <w:p w:rsidR="00D720BD" w:rsidRPr="00EE516C" w:rsidRDefault="00D720BD" w:rsidP="00D720BD">
      <w:pPr>
        <w:rPr>
          <w:sz w:val="22"/>
        </w:rPr>
      </w:pPr>
    </w:p>
    <w:p w:rsidR="00D720BD" w:rsidRPr="00EE516C" w:rsidRDefault="00D720BD" w:rsidP="00D720BD">
      <w:pPr>
        <w:rPr>
          <w:b/>
          <w:sz w:val="22"/>
          <w:szCs w:val="22"/>
        </w:rPr>
      </w:pPr>
    </w:p>
    <w:p w:rsidR="00D720BD" w:rsidRPr="00EE516C" w:rsidRDefault="00D720BD">
      <w:pPr>
        <w:rPr>
          <w:sz w:val="22"/>
        </w:rPr>
      </w:pPr>
      <w:r w:rsidRPr="00EE516C">
        <w:rPr>
          <w:sz w:val="22"/>
        </w:rPr>
        <w:t xml:space="preserve">Achebe, Chinua. </w:t>
      </w:r>
      <w:proofErr w:type="gramStart"/>
      <w:r w:rsidRPr="00EE516C">
        <w:rPr>
          <w:i/>
          <w:sz w:val="22"/>
        </w:rPr>
        <w:t>A Man of the People</w:t>
      </w:r>
      <w:r w:rsidRPr="00EE516C">
        <w:rPr>
          <w:sz w:val="22"/>
        </w:rPr>
        <w:t>.</w:t>
      </w:r>
      <w:proofErr w:type="gramEnd"/>
      <w:r w:rsidRPr="00EE516C">
        <w:rPr>
          <w:sz w:val="22"/>
        </w:rPr>
        <w:t xml:space="preserve"> </w:t>
      </w:r>
      <w:proofErr w:type="gramStart"/>
      <w:r w:rsidRPr="00EE516C">
        <w:rPr>
          <w:sz w:val="22"/>
        </w:rPr>
        <w:t>1967/1989.</w:t>
      </w:r>
      <w:proofErr w:type="gramEnd"/>
      <w:r w:rsidRPr="00EE516C">
        <w:rPr>
          <w:sz w:val="22"/>
        </w:rPr>
        <w:t xml:space="preserve"> New York: </w:t>
      </w:r>
      <w:proofErr w:type="spellStart"/>
      <w:r w:rsidRPr="00EE516C">
        <w:rPr>
          <w:sz w:val="22"/>
        </w:rPr>
        <w:t>Ancor</w:t>
      </w:r>
      <w:proofErr w:type="spellEnd"/>
      <w:r w:rsidRPr="00EE516C">
        <w:rPr>
          <w:sz w:val="22"/>
        </w:rPr>
        <w:t xml:space="preserve">. </w:t>
      </w:r>
    </w:p>
    <w:p w:rsidR="00D720BD" w:rsidRPr="00EE516C" w:rsidRDefault="00D720BD" w:rsidP="00D720BD">
      <w:pPr>
        <w:ind w:left="720" w:hanging="720"/>
        <w:rPr>
          <w:sz w:val="22"/>
        </w:rPr>
      </w:pPr>
      <w:proofErr w:type="spellStart"/>
      <w:proofErr w:type="gramStart"/>
      <w:r w:rsidRPr="00EE516C">
        <w:rPr>
          <w:sz w:val="22"/>
        </w:rPr>
        <w:t>Chabal</w:t>
      </w:r>
      <w:proofErr w:type="spellEnd"/>
      <w:r w:rsidRPr="00EE516C">
        <w:rPr>
          <w:sz w:val="22"/>
        </w:rPr>
        <w:t xml:space="preserve">, Patrick, and Jean-Pascal </w:t>
      </w:r>
      <w:proofErr w:type="spellStart"/>
      <w:r w:rsidRPr="00EE516C">
        <w:rPr>
          <w:sz w:val="22"/>
        </w:rPr>
        <w:t>Daloz</w:t>
      </w:r>
      <w:proofErr w:type="spellEnd"/>
      <w:r w:rsidRPr="00EE516C">
        <w:rPr>
          <w:sz w:val="22"/>
        </w:rPr>
        <w:t>.</w:t>
      </w:r>
      <w:proofErr w:type="gramEnd"/>
      <w:r w:rsidRPr="00EE516C">
        <w:rPr>
          <w:sz w:val="22"/>
        </w:rPr>
        <w:t xml:space="preserve"> 1999. </w:t>
      </w:r>
      <w:r w:rsidRPr="00EE516C">
        <w:rPr>
          <w:i/>
          <w:sz w:val="22"/>
        </w:rPr>
        <w:t>Africa Works: Disorder as Political Instrument.</w:t>
      </w:r>
      <w:r w:rsidRPr="00EE516C">
        <w:rPr>
          <w:sz w:val="22"/>
        </w:rPr>
        <w:t xml:space="preserve"> Bloomington: Indiana University Press. </w:t>
      </w:r>
    </w:p>
    <w:p w:rsidR="00D720BD" w:rsidRPr="00EE516C" w:rsidRDefault="00D720BD" w:rsidP="00D720BD">
      <w:pPr>
        <w:ind w:left="720" w:hanging="720"/>
        <w:rPr>
          <w:sz w:val="22"/>
        </w:rPr>
      </w:pPr>
      <w:proofErr w:type="gramStart"/>
      <w:r w:rsidRPr="00EE516C">
        <w:rPr>
          <w:sz w:val="22"/>
        </w:rPr>
        <w:t>Leonard, David K. and Scott Strauss.</w:t>
      </w:r>
      <w:proofErr w:type="gramEnd"/>
      <w:r w:rsidRPr="00EE516C">
        <w:rPr>
          <w:sz w:val="22"/>
        </w:rPr>
        <w:t xml:space="preserve"> 2003. </w:t>
      </w:r>
      <w:r w:rsidRPr="00EE516C">
        <w:rPr>
          <w:i/>
          <w:sz w:val="22"/>
        </w:rPr>
        <w:t>Africa’s Stalled Development: International Causes &amp; Cures.</w:t>
      </w:r>
      <w:r w:rsidRPr="00EE516C">
        <w:rPr>
          <w:sz w:val="22"/>
        </w:rPr>
        <w:t xml:space="preserve"> Boulder: Lynne </w:t>
      </w:r>
      <w:proofErr w:type="spellStart"/>
      <w:r w:rsidRPr="00EE516C">
        <w:rPr>
          <w:sz w:val="22"/>
        </w:rPr>
        <w:t>Rienner</w:t>
      </w:r>
      <w:proofErr w:type="spellEnd"/>
      <w:r w:rsidRPr="00EE516C">
        <w:rPr>
          <w:sz w:val="22"/>
        </w:rPr>
        <w:t xml:space="preserve"> Press. </w:t>
      </w:r>
    </w:p>
    <w:p w:rsidR="00EE516C" w:rsidRDefault="00D720BD">
      <w:pPr>
        <w:rPr>
          <w:sz w:val="22"/>
        </w:rPr>
      </w:pPr>
      <w:proofErr w:type="spellStart"/>
      <w:r w:rsidRPr="00EE516C">
        <w:rPr>
          <w:sz w:val="22"/>
        </w:rPr>
        <w:t>Ousmane</w:t>
      </w:r>
      <w:proofErr w:type="spellEnd"/>
      <w:r w:rsidRPr="00EE516C">
        <w:rPr>
          <w:sz w:val="22"/>
        </w:rPr>
        <w:t xml:space="preserve"> </w:t>
      </w:r>
      <w:proofErr w:type="spellStart"/>
      <w:r w:rsidRPr="00EE516C">
        <w:rPr>
          <w:sz w:val="22"/>
        </w:rPr>
        <w:t>Sembene</w:t>
      </w:r>
      <w:proofErr w:type="spellEnd"/>
      <w:r w:rsidRPr="00EE516C">
        <w:rPr>
          <w:sz w:val="22"/>
        </w:rPr>
        <w:t xml:space="preserve">, 1960. </w:t>
      </w:r>
      <w:r w:rsidRPr="00EE516C">
        <w:rPr>
          <w:i/>
          <w:sz w:val="22"/>
        </w:rPr>
        <w:t>God’s Bits of Wood</w:t>
      </w:r>
      <w:r w:rsidRPr="00EE516C">
        <w:rPr>
          <w:sz w:val="22"/>
        </w:rPr>
        <w:t xml:space="preserve">. Portsmouth: Heinemann. </w:t>
      </w:r>
    </w:p>
    <w:p w:rsidR="00D720BD" w:rsidRPr="00EE516C" w:rsidRDefault="00D720BD">
      <w:pPr>
        <w:rPr>
          <w:sz w:val="22"/>
        </w:rPr>
      </w:pPr>
    </w:p>
    <w:p w:rsidR="00D720BD" w:rsidRDefault="00EE516C" w:rsidP="00D720BD">
      <w:pPr>
        <w:jc w:val="center"/>
      </w:pPr>
      <w:r w:rsidRPr="00EE516C">
        <w:rPr>
          <w:noProof/>
        </w:rPr>
        <w:drawing>
          <wp:inline distT="0" distB="0" distL="0" distR="0">
            <wp:extent cx="5144089" cy="5164667"/>
            <wp:effectExtent l="25400" t="0" r="1211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47247" cy="5167838"/>
                    </a:xfrm>
                    <a:prstGeom prst="rect">
                      <a:avLst/>
                    </a:prstGeom>
                    <a:noFill/>
                    <a:ln w="9525">
                      <a:noFill/>
                      <a:miter lim="800000"/>
                      <a:headEnd/>
                      <a:tailEnd/>
                    </a:ln>
                  </pic:spPr>
                </pic:pic>
              </a:graphicData>
            </a:graphic>
          </wp:inline>
        </w:drawing>
      </w:r>
    </w:p>
    <w:p w:rsidR="00D720BD" w:rsidRPr="00B23116" w:rsidRDefault="0067159D" w:rsidP="00D720BD">
      <w:pPr>
        <w:jc w:val="center"/>
        <w:rPr>
          <w:color w:val="FF0000"/>
        </w:rPr>
      </w:pPr>
      <w:r>
        <w:rPr>
          <w:color w:val="FF0000"/>
        </w:rPr>
        <w:br w:type="page"/>
      </w:r>
      <w:r w:rsidR="00D720BD" w:rsidRPr="00B23116">
        <w:rPr>
          <w:color w:val="FF0000"/>
        </w:rPr>
        <w:t>Please note. I reserve the right to change, amend, or otherwise transform the syllabus in order to</w:t>
      </w:r>
      <w:r w:rsidR="003445B0">
        <w:rPr>
          <w:color w:val="FF0000"/>
        </w:rPr>
        <w:t xml:space="preserve"> meet course</w:t>
      </w:r>
      <w:r w:rsidR="00D720BD" w:rsidRPr="00B23116">
        <w:rPr>
          <w:color w:val="FF0000"/>
        </w:rPr>
        <w:t xml:space="preserve"> objectives.</w:t>
      </w:r>
    </w:p>
    <w:p w:rsidR="00D720BD" w:rsidRDefault="00D720BD" w:rsidP="00D720BD">
      <w:pPr>
        <w:jc w:val="center"/>
      </w:pPr>
    </w:p>
    <w:p w:rsidR="00D720BD" w:rsidRDefault="00D720BD" w:rsidP="00D720BD">
      <w:pPr>
        <w:jc w:val="center"/>
      </w:pPr>
      <w:r>
        <w:t>DATES, TOPICS AND READING</w:t>
      </w:r>
    </w:p>
    <w:p w:rsidR="00D720BD" w:rsidRDefault="00D720BD"/>
    <w:tbl>
      <w:tblPr>
        <w:tblW w:w="1143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900"/>
        <w:gridCol w:w="1890"/>
        <w:gridCol w:w="4320"/>
        <w:gridCol w:w="4320"/>
      </w:tblGrid>
      <w:tr w:rsidR="00D720BD" w:rsidRPr="00CD3A1A">
        <w:tc>
          <w:tcPr>
            <w:tcW w:w="900" w:type="dxa"/>
          </w:tcPr>
          <w:p w:rsidR="00D720BD" w:rsidRPr="00CD3A1A" w:rsidRDefault="00D720BD" w:rsidP="00D720BD">
            <w:pPr>
              <w:tabs>
                <w:tab w:val="left" w:pos="1080"/>
              </w:tabs>
              <w:jc w:val="center"/>
            </w:pPr>
            <w:r w:rsidRPr="00CD3A1A">
              <w:t>Dates</w:t>
            </w:r>
          </w:p>
        </w:tc>
        <w:tc>
          <w:tcPr>
            <w:tcW w:w="1890" w:type="dxa"/>
          </w:tcPr>
          <w:p w:rsidR="00D720BD" w:rsidRPr="00CD3A1A" w:rsidRDefault="00D720BD" w:rsidP="00D720BD">
            <w:pPr>
              <w:tabs>
                <w:tab w:val="left" w:pos="1080"/>
              </w:tabs>
              <w:jc w:val="center"/>
            </w:pPr>
            <w:r w:rsidRPr="00CD3A1A">
              <w:t>Topic</w:t>
            </w:r>
          </w:p>
        </w:tc>
        <w:tc>
          <w:tcPr>
            <w:tcW w:w="4320" w:type="dxa"/>
          </w:tcPr>
          <w:p w:rsidR="00D720BD" w:rsidRPr="00CD3A1A" w:rsidRDefault="00D720BD" w:rsidP="00D720BD">
            <w:pPr>
              <w:tabs>
                <w:tab w:val="left" w:pos="1080"/>
              </w:tabs>
              <w:jc w:val="center"/>
            </w:pPr>
            <w:r w:rsidRPr="00CD3A1A">
              <w:t>Tuesday</w:t>
            </w:r>
          </w:p>
        </w:tc>
        <w:tc>
          <w:tcPr>
            <w:tcW w:w="4320" w:type="dxa"/>
          </w:tcPr>
          <w:p w:rsidR="00D720BD" w:rsidRPr="00CD3A1A" w:rsidRDefault="00D720BD" w:rsidP="00D720BD">
            <w:pPr>
              <w:tabs>
                <w:tab w:val="left" w:pos="1080"/>
              </w:tabs>
              <w:jc w:val="center"/>
            </w:pPr>
            <w:r w:rsidRPr="00CD3A1A">
              <w:t>Thursday</w:t>
            </w:r>
          </w:p>
        </w:tc>
      </w:tr>
      <w:tr w:rsidR="00D720BD" w:rsidRPr="00CD3A1A">
        <w:tc>
          <w:tcPr>
            <w:tcW w:w="900" w:type="dxa"/>
          </w:tcPr>
          <w:p w:rsidR="00D720BD" w:rsidRPr="00CD3A1A" w:rsidRDefault="00D720BD" w:rsidP="00D720BD">
            <w:pPr>
              <w:jc w:val="center"/>
            </w:pPr>
            <w:r w:rsidRPr="00CD3A1A">
              <w:t>8-25</w:t>
            </w:r>
          </w:p>
        </w:tc>
        <w:tc>
          <w:tcPr>
            <w:tcW w:w="1890" w:type="dxa"/>
          </w:tcPr>
          <w:p w:rsidR="00D720BD" w:rsidRPr="00CD3A1A" w:rsidRDefault="00D720BD" w:rsidP="00D720BD">
            <w:pPr>
              <w:tabs>
                <w:tab w:val="left" w:pos="1152"/>
              </w:tabs>
            </w:pPr>
            <w:r w:rsidRPr="00CD3A1A">
              <w:t>Introduction to African Politics: (</w:t>
            </w:r>
            <w:proofErr w:type="spellStart"/>
            <w:r w:rsidRPr="00CD3A1A">
              <w:t>mis</w:t>
            </w:r>
            <w:proofErr w:type="spellEnd"/>
            <w:r w:rsidRPr="00CD3A1A">
              <w:t xml:space="preserve">)representation and “variation in the data” </w:t>
            </w:r>
          </w:p>
          <w:p w:rsidR="00D720BD" w:rsidRPr="00CD3A1A" w:rsidRDefault="00D720BD" w:rsidP="00D720BD">
            <w:pPr>
              <w:tabs>
                <w:tab w:val="left" w:pos="1152"/>
              </w:tabs>
            </w:pPr>
          </w:p>
        </w:tc>
        <w:tc>
          <w:tcPr>
            <w:tcW w:w="4320" w:type="dxa"/>
          </w:tcPr>
          <w:p w:rsidR="00D720BD" w:rsidRPr="00CD3A1A" w:rsidRDefault="00D720BD" w:rsidP="00D720BD">
            <w:r w:rsidRPr="00CD3A1A">
              <w:t xml:space="preserve"> </w:t>
            </w:r>
          </w:p>
        </w:tc>
        <w:tc>
          <w:tcPr>
            <w:tcW w:w="4320" w:type="dxa"/>
          </w:tcPr>
          <w:p w:rsidR="00D720BD" w:rsidRPr="00CD3A1A" w:rsidRDefault="00D720BD" w:rsidP="00D720BD">
            <w:r>
              <w:t>Achebe, “Africa’s Tarnished Name”</w:t>
            </w:r>
          </w:p>
        </w:tc>
      </w:tr>
      <w:tr w:rsidR="00D720BD" w:rsidRPr="00CD3A1A">
        <w:tc>
          <w:tcPr>
            <w:tcW w:w="900" w:type="dxa"/>
          </w:tcPr>
          <w:p w:rsidR="00D720BD" w:rsidRPr="00CD3A1A" w:rsidRDefault="00D720BD" w:rsidP="00D720BD">
            <w:pPr>
              <w:jc w:val="center"/>
            </w:pPr>
            <w:r w:rsidRPr="00CD3A1A">
              <w:t>8/31-9/2</w:t>
            </w:r>
          </w:p>
        </w:tc>
        <w:tc>
          <w:tcPr>
            <w:tcW w:w="1890" w:type="dxa"/>
          </w:tcPr>
          <w:p w:rsidR="00D720BD" w:rsidRPr="00CD3A1A" w:rsidRDefault="00D720BD" w:rsidP="00D720BD">
            <w:pPr>
              <w:jc w:val="center"/>
            </w:pPr>
            <w:r w:rsidRPr="00CD3A1A">
              <w:t xml:space="preserve">Pre-colonial political economy; Colonial governance </w:t>
            </w:r>
          </w:p>
        </w:tc>
        <w:tc>
          <w:tcPr>
            <w:tcW w:w="4320" w:type="dxa"/>
          </w:tcPr>
          <w:p w:rsidR="00D720BD" w:rsidRPr="0078152F" w:rsidRDefault="00D720BD" w:rsidP="00D720BD">
            <w:r w:rsidRPr="0078152F">
              <w:t>Van Allen, “ ‘Sitting on a Man’: Colonialism and Lost Political Institutions of Igbo Women”</w:t>
            </w:r>
          </w:p>
          <w:p w:rsidR="00D720BD" w:rsidRPr="0078152F" w:rsidRDefault="00D720BD" w:rsidP="00D720BD">
            <w:proofErr w:type="spellStart"/>
            <w:r w:rsidRPr="0078152F">
              <w:t>Mamdani</w:t>
            </w:r>
            <w:proofErr w:type="spellEnd"/>
            <w:r w:rsidRPr="0078152F">
              <w:t xml:space="preserve"> “Decentralized Despotism” </w:t>
            </w:r>
          </w:p>
          <w:p w:rsidR="00D720BD" w:rsidRPr="0078152F" w:rsidRDefault="00D720BD" w:rsidP="00D720BD">
            <w:proofErr w:type="spellStart"/>
            <w:r w:rsidRPr="0078152F">
              <w:t>LeVine</w:t>
            </w:r>
            <w:proofErr w:type="spellEnd"/>
            <w:r w:rsidRPr="0078152F">
              <w:t>, “The Colonial Context” (29-38)</w:t>
            </w:r>
          </w:p>
          <w:p w:rsidR="00D720BD" w:rsidRPr="0078152F" w:rsidRDefault="00D720BD" w:rsidP="00D720BD"/>
          <w:p w:rsidR="00D720BD" w:rsidRPr="0078152F" w:rsidRDefault="00D720BD" w:rsidP="00D720BD"/>
          <w:p w:rsidR="00D720BD" w:rsidRPr="0078152F" w:rsidRDefault="00D720BD" w:rsidP="00D720BD"/>
        </w:tc>
        <w:tc>
          <w:tcPr>
            <w:tcW w:w="4320" w:type="dxa"/>
          </w:tcPr>
          <w:p w:rsidR="00D720BD" w:rsidRPr="0078152F" w:rsidRDefault="00D720BD" w:rsidP="00D720BD">
            <w:proofErr w:type="spellStart"/>
            <w:r w:rsidRPr="0078152F">
              <w:t>LeVine</w:t>
            </w:r>
            <w:proofErr w:type="spellEnd"/>
            <w:r w:rsidRPr="0078152F">
              <w:t>, “The Colonial Context” (38-55)</w:t>
            </w:r>
          </w:p>
          <w:p w:rsidR="00D720BD" w:rsidRPr="0078152F" w:rsidRDefault="00D720BD" w:rsidP="00D720BD">
            <w:r w:rsidRPr="0078152F">
              <w:t>Young, “Zaire: Shattered Illusions of the Integral State (pp: 247-256)</w:t>
            </w:r>
          </w:p>
          <w:p w:rsidR="00D720BD" w:rsidRPr="0078152F" w:rsidRDefault="00D720BD" w:rsidP="00D720BD">
            <w:proofErr w:type="spellStart"/>
            <w:r w:rsidRPr="0078152F">
              <w:t>Mamdani</w:t>
            </w:r>
            <w:proofErr w:type="spellEnd"/>
            <w:r w:rsidRPr="0078152F">
              <w:t xml:space="preserve">, “The </w:t>
            </w:r>
            <w:proofErr w:type="spellStart"/>
            <w:r w:rsidRPr="0078152F">
              <w:t>Racialization</w:t>
            </w:r>
            <w:proofErr w:type="spellEnd"/>
            <w:r w:rsidRPr="0078152F">
              <w:t xml:space="preserve"> of the </w:t>
            </w:r>
          </w:p>
          <w:p w:rsidR="00D720BD" w:rsidRPr="0078152F" w:rsidRDefault="00D720BD" w:rsidP="00D720BD">
            <w:r w:rsidRPr="0078152F">
              <w:t>Hutu/Tutsi Difference under Colonialism”</w:t>
            </w:r>
          </w:p>
          <w:p w:rsidR="00D720BD" w:rsidRPr="0078152F" w:rsidRDefault="00D720BD" w:rsidP="00D720BD"/>
        </w:tc>
      </w:tr>
      <w:tr w:rsidR="00D720BD" w:rsidRPr="00CD3A1A">
        <w:tc>
          <w:tcPr>
            <w:tcW w:w="900" w:type="dxa"/>
          </w:tcPr>
          <w:p w:rsidR="00D720BD" w:rsidRPr="00CD3A1A" w:rsidRDefault="00D720BD" w:rsidP="00D720BD">
            <w:pPr>
              <w:jc w:val="center"/>
            </w:pPr>
            <w:r w:rsidRPr="00CD3A1A">
              <w:t>9/7-9/9</w:t>
            </w:r>
          </w:p>
        </w:tc>
        <w:tc>
          <w:tcPr>
            <w:tcW w:w="1890" w:type="dxa"/>
          </w:tcPr>
          <w:p w:rsidR="00D720BD" w:rsidRPr="00CD3A1A" w:rsidRDefault="00D720BD" w:rsidP="00D720BD">
            <w:pPr>
              <w:jc w:val="center"/>
            </w:pPr>
            <w:r w:rsidRPr="00CD3A1A">
              <w:t xml:space="preserve">Nationalism and the discrete impacts of </w:t>
            </w:r>
            <w:r w:rsidRPr="00CD3A1A">
              <w:rPr>
                <w:i/>
              </w:rPr>
              <w:t>de</w:t>
            </w:r>
            <w:r w:rsidRPr="00CD3A1A">
              <w:t>colonization</w:t>
            </w:r>
          </w:p>
        </w:tc>
        <w:tc>
          <w:tcPr>
            <w:tcW w:w="4320" w:type="dxa"/>
          </w:tcPr>
          <w:p w:rsidR="00D720BD" w:rsidRPr="00CD3A1A" w:rsidRDefault="00D720BD" w:rsidP="00D720BD">
            <w:proofErr w:type="spellStart"/>
            <w:r w:rsidRPr="00CD3A1A">
              <w:t>Mamdani</w:t>
            </w:r>
            <w:proofErr w:type="spellEnd"/>
            <w:r w:rsidRPr="00CD3A1A">
              <w:t>, “The ‘Social Revolution’ of 1959”</w:t>
            </w:r>
          </w:p>
          <w:p w:rsidR="00D720BD" w:rsidRPr="00CD3A1A" w:rsidRDefault="00D720BD" w:rsidP="00D720BD">
            <w:proofErr w:type="spellStart"/>
            <w:r w:rsidRPr="00CD3A1A">
              <w:t>leVine</w:t>
            </w:r>
            <w:proofErr w:type="spellEnd"/>
            <w:r w:rsidRPr="00CD3A1A">
              <w:t xml:space="preserve"> “Political Life and Institutions, 1944-1960”</w:t>
            </w:r>
          </w:p>
        </w:tc>
        <w:tc>
          <w:tcPr>
            <w:tcW w:w="4320" w:type="dxa"/>
          </w:tcPr>
          <w:p w:rsidR="00D720BD" w:rsidRPr="00CD3A1A" w:rsidRDefault="00D720BD" w:rsidP="00D720BD">
            <w:r w:rsidRPr="00CD3A1A">
              <w:t>Young, “Heritage of Colonialism”</w:t>
            </w:r>
          </w:p>
          <w:p w:rsidR="00D720BD" w:rsidRPr="00CD3A1A" w:rsidRDefault="00D720BD" w:rsidP="00D720BD">
            <w:proofErr w:type="spellStart"/>
            <w:r w:rsidRPr="00CD3A1A">
              <w:t>Hyden</w:t>
            </w:r>
            <w:proofErr w:type="spellEnd"/>
            <w:r w:rsidRPr="00CD3A1A">
              <w:t>, “The Movement Legacy”</w:t>
            </w:r>
          </w:p>
          <w:p w:rsidR="00D720BD" w:rsidRPr="00CD3A1A" w:rsidRDefault="00D720BD" w:rsidP="00D720BD">
            <w:r w:rsidRPr="00CD3A1A">
              <w:t>Young, “Zaire: Shattered Illusions of the Integral State” (257-263)</w:t>
            </w:r>
          </w:p>
        </w:tc>
      </w:tr>
      <w:tr w:rsidR="00D720BD" w:rsidRPr="00CD3A1A">
        <w:tc>
          <w:tcPr>
            <w:tcW w:w="900" w:type="dxa"/>
          </w:tcPr>
          <w:p w:rsidR="00D720BD" w:rsidRPr="00CD3A1A" w:rsidRDefault="00D720BD" w:rsidP="00D720BD">
            <w:pPr>
              <w:jc w:val="center"/>
            </w:pPr>
            <w:r w:rsidRPr="00CD3A1A">
              <w:t>9/14-9/16</w:t>
            </w:r>
          </w:p>
        </w:tc>
        <w:tc>
          <w:tcPr>
            <w:tcW w:w="1890" w:type="dxa"/>
          </w:tcPr>
          <w:p w:rsidR="00D720BD" w:rsidRPr="00CD3A1A" w:rsidRDefault="00D720BD" w:rsidP="00D720BD">
            <w:pPr>
              <w:jc w:val="center"/>
            </w:pPr>
            <w:r>
              <w:t>Politics and the African Novel</w:t>
            </w:r>
          </w:p>
        </w:tc>
        <w:tc>
          <w:tcPr>
            <w:tcW w:w="4320" w:type="dxa"/>
          </w:tcPr>
          <w:p w:rsidR="00D720BD" w:rsidRPr="00AF1A2A" w:rsidRDefault="00D720BD" w:rsidP="00D720BD">
            <w:pPr>
              <w:rPr>
                <w:color w:val="FF0000"/>
              </w:rPr>
            </w:pPr>
            <w:r w:rsidRPr="00AF1A2A">
              <w:rPr>
                <w:color w:val="FF0000"/>
              </w:rPr>
              <w:t>Reflection Paper 1 due</w:t>
            </w:r>
          </w:p>
          <w:p w:rsidR="00D720BD" w:rsidRPr="00CD3A1A" w:rsidRDefault="00D720BD" w:rsidP="00D720BD">
            <w:proofErr w:type="spellStart"/>
            <w:r>
              <w:t>Ousmane</w:t>
            </w:r>
            <w:proofErr w:type="spellEnd"/>
            <w:r>
              <w:t xml:space="preserve"> </w:t>
            </w:r>
            <w:proofErr w:type="spellStart"/>
            <w:r>
              <w:t>Sembene</w:t>
            </w:r>
            <w:proofErr w:type="spellEnd"/>
            <w:r>
              <w:t xml:space="preserve">, </w:t>
            </w:r>
            <w:r w:rsidRPr="000102EB">
              <w:rPr>
                <w:i/>
              </w:rPr>
              <w:t>Gods Bits of Wood</w:t>
            </w:r>
          </w:p>
        </w:tc>
        <w:tc>
          <w:tcPr>
            <w:tcW w:w="4320" w:type="dxa"/>
          </w:tcPr>
          <w:p w:rsidR="00D720BD" w:rsidRPr="00CD3A1A" w:rsidRDefault="00D720BD" w:rsidP="00D720BD">
            <w:proofErr w:type="spellStart"/>
            <w:r>
              <w:t>Ousmane</w:t>
            </w:r>
            <w:proofErr w:type="spellEnd"/>
            <w:r>
              <w:t xml:space="preserve"> </w:t>
            </w:r>
            <w:proofErr w:type="spellStart"/>
            <w:r>
              <w:t>Sembene</w:t>
            </w:r>
            <w:proofErr w:type="spellEnd"/>
            <w:r>
              <w:t xml:space="preserve">, </w:t>
            </w:r>
            <w:r w:rsidRPr="000102EB">
              <w:rPr>
                <w:i/>
              </w:rPr>
              <w:t>Gods Bits of Wood</w:t>
            </w:r>
          </w:p>
        </w:tc>
      </w:tr>
      <w:tr w:rsidR="00D720BD" w:rsidRPr="00CD3A1A">
        <w:tc>
          <w:tcPr>
            <w:tcW w:w="900" w:type="dxa"/>
          </w:tcPr>
          <w:p w:rsidR="00D720BD" w:rsidRPr="00CD3A1A" w:rsidRDefault="00D720BD" w:rsidP="00D720BD">
            <w:pPr>
              <w:jc w:val="center"/>
            </w:pPr>
            <w:r w:rsidRPr="00CD3A1A">
              <w:t>9/21-9/23</w:t>
            </w:r>
          </w:p>
        </w:tc>
        <w:tc>
          <w:tcPr>
            <w:tcW w:w="1890" w:type="dxa"/>
          </w:tcPr>
          <w:p w:rsidR="00D720BD" w:rsidRDefault="00D720BD" w:rsidP="00D720BD">
            <w:pPr>
              <w:jc w:val="center"/>
            </w:pPr>
          </w:p>
          <w:p w:rsidR="00D720BD" w:rsidRDefault="00D720BD" w:rsidP="00D720BD"/>
          <w:p w:rsidR="00D720BD" w:rsidRDefault="00D720BD" w:rsidP="00D720BD"/>
          <w:p w:rsidR="00D720BD" w:rsidRDefault="00D720BD" w:rsidP="00D720BD"/>
          <w:p w:rsidR="00D720BD" w:rsidRDefault="00D720BD" w:rsidP="00D720BD"/>
          <w:p w:rsidR="00D720BD" w:rsidRDefault="00D720BD" w:rsidP="00D720BD"/>
          <w:p w:rsidR="00D720BD" w:rsidRDefault="00D720BD" w:rsidP="00D720BD"/>
          <w:p w:rsidR="00D720BD" w:rsidRPr="00CD3A1A" w:rsidRDefault="00D720BD" w:rsidP="00D720BD"/>
        </w:tc>
        <w:tc>
          <w:tcPr>
            <w:tcW w:w="4320" w:type="dxa"/>
          </w:tcPr>
          <w:p w:rsidR="00D720BD" w:rsidRPr="00765F89" w:rsidRDefault="00D720BD" w:rsidP="00D720BD">
            <w:pPr>
              <w:jc w:val="center"/>
              <w:rPr>
                <w:color w:val="FF0000"/>
              </w:rPr>
            </w:pPr>
            <w:r w:rsidRPr="00765F89">
              <w:rPr>
                <w:color w:val="FF0000"/>
              </w:rPr>
              <w:t>Test 1</w:t>
            </w:r>
          </w:p>
        </w:tc>
        <w:tc>
          <w:tcPr>
            <w:tcW w:w="4320" w:type="dxa"/>
          </w:tcPr>
          <w:p w:rsidR="00D720BD" w:rsidRPr="00CD3A1A" w:rsidRDefault="00D720BD" w:rsidP="00D720BD">
            <w:r>
              <w:t>Young, “On the State”</w:t>
            </w:r>
          </w:p>
        </w:tc>
      </w:tr>
      <w:tr w:rsidR="00D720BD" w:rsidRPr="00CD3A1A">
        <w:tc>
          <w:tcPr>
            <w:tcW w:w="900" w:type="dxa"/>
          </w:tcPr>
          <w:p w:rsidR="00D720BD" w:rsidRPr="00CD3A1A" w:rsidRDefault="00D720BD" w:rsidP="00D720BD">
            <w:pPr>
              <w:jc w:val="center"/>
            </w:pPr>
            <w:r w:rsidRPr="00CD3A1A">
              <w:t>9/28-9/30</w:t>
            </w:r>
          </w:p>
        </w:tc>
        <w:tc>
          <w:tcPr>
            <w:tcW w:w="1890" w:type="dxa"/>
          </w:tcPr>
          <w:p w:rsidR="00D720BD" w:rsidRPr="00483DA0" w:rsidRDefault="00D720BD" w:rsidP="00D720BD">
            <w:pPr>
              <w:jc w:val="center"/>
            </w:pPr>
            <w:r>
              <w:t>Seizing the “Political Kingdom”</w:t>
            </w:r>
          </w:p>
          <w:p w:rsidR="00D720BD" w:rsidRDefault="00D720BD" w:rsidP="00D720BD">
            <w:pPr>
              <w:jc w:val="center"/>
            </w:pPr>
          </w:p>
          <w:p w:rsidR="00D720BD" w:rsidRDefault="00D720BD" w:rsidP="00D720BD">
            <w:pPr>
              <w:jc w:val="center"/>
            </w:pPr>
          </w:p>
          <w:p w:rsidR="00D720BD" w:rsidRDefault="00D720BD" w:rsidP="00D720BD">
            <w:pPr>
              <w:jc w:val="center"/>
            </w:pPr>
          </w:p>
          <w:p w:rsidR="00D720BD" w:rsidRDefault="00D720BD" w:rsidP="00D720BD">
            <w:pPr>
              <w:jc w:val="center"/>
            </w:pPr>
          </w:p>
          <w:p w:rsidR="00D720BD" w:rsidRDefault="00D720BD" w:rsidP="00D720BD">
            <w:pPr>
              <w:jc w:val="center"/>
            </w:pPr>
          </w:p>
          <w:p w:rsidR="00D720BD" w:rsidRPr="00CD3A1A" w:rsidRDefault="00D720BD" w:rsidP="00D720BD">
            <w:pPr>
              <w:jc w:val="center"/>
            </w:pPr>
          </w:p>
        </w:tc>
        <w:tc>
          <w:tcPr>
            <w:tcW w:w="4320" w:type="dxa"/>
          </w:tcPr>
          <w:p w:rsidR="00D720BD" w:rsidRDefault="00D720BD" w:rsidP="00D720BD">
            <w:pPr>
              <w:ind w:left="288" w:hanging="288"/>
            </w:pPr>
            <w:r>
              <w:t>Boone, “Consolidation of a regime: Neocolonialism in the 1960s”</w:t>
            </w:r>
          </w:p>
          <w:p w:rsidR="00D720BD" w:rsidRDefault="00D720BD" w:rsidP="00D720BD">
            <w:r>
              <w:t>Skinner, “</w:t>
            </w:r>
            <w:proofErr w:type="spellStart"/>
            <w:r>
              <w:t>Sankara</w:t>
            </w:r>
            <w:proofErr w:type="spellEnd"/>
            <w:r>
              <w:t xml:space="preserve"> and the </w:t>
            </w:r>
            <w:proofErr w:type="spellStart"/>
            <w:r>
              <w:t>Burkinabé</w:t>
            </w:r>
            <w:proofErr w:type="spellEnd"/>
            <w:r>
              <w:t xml:space="preserve"> Revolution” </w:t>
            </w:r>
          </w:p>
          <w:p w:rsidR="00D720BD" w:rsidRPr="00CD3A1A" w:rsidRDefault="00D720BD" w:rsidP="00D720BD">
            <w:pPr>
              <w:ind w:left="288" w:hanging="288"/>
            </w:pPr>
          </w:p>
        </w:tc>
        <w:tc>
          <w:tcPr>
            <w:tcW w:w="4320" w:type="dxa"/>
          </w:tcPr>
          <w:p w:rsidR="00D720BD" w:rsidRDefault="00D720BD" w:rsidP="00D720BD">
            <w:proofErr w:type="spellStart"/>
            <w:r>
              <w:t>Clapham</w:t>
            </w:r>
            <w:proofErr w:type="spellEnd"/>
            <w:r>
              <w:t xml:space="preserve">, “The Ethiopian Coup </w:t>
            </w:r>
            <w:proofErr w:type="spellStart"/>
            <w:r>
              <w:t>d’Etat</w:t>
            </w:r>
            <w:proofErr w:type="spellEnd"/>
            <w:r>
              <w:t xml:space="preserve"> of December 1960”</w:t>
            </w:r>
          </w:p>
          <w:p w:rsidR="00D720BD" w:rsidRPr="00CD3A1A" w:rsidRDefault="00D720BD" w:rsidP="00D720BD">
            <w:proofErr w:type="spellStart"/>
            <w:r>
              <w:t>Baynham</w:t>
            </w:r>
            <w:proofErr w:type="spellEnd"/>
            <w:r>
              <w:t>, “</w:t>
            </w:r>
            <w:proofErr w:type="spellStart"/>
            <w:r w:rsidRPr="00C47C60">
              <w:rPr>
                <w:i/>
              </w:rPr>
              <w:t>Quis</w:t>
            </w:r>
            <w:proofErr w:type="spellEnd"/>
            <w:r w:rsidRPr="00C47C60">
              <w:rPr>
                <w:i/>
              </w:rPr>
              <w:t xml:space="preserve"> </w:t>
            </w:r>
            <w:proofErr w:type="spellStart"/>
            <w:r w:rsidRPr="00C47C60">
              <w:rPr>
                <w:i/>
              </w:rPr>
              <w:t>Custodiet</w:t>
            </w:r>
            <w:proofErr w:type="spellEnd"/>
            <w:r w:rsidRPr="00C47C60">
              <w:rPr>
                <w:i/>
              </w:rPr>
              <w:t xml:space="preserve"> </w:t>
            </w:r>
            <w:proofErr w:type="spellStart"/>
            <w:r w:rsidRPr="00C47C60">
              <w:rPr>
                <w:i/>
              </w:rPr>
              <w:t>Ipsos</w:t>
            </w:r>
            <w:proofErr w:type="spellEnd"/>
            <w:r w:rsidRPr="00C47C60">
              <w:rPr>
                <w:i/>
              </w:rPr>
              <w:t xml:space="preserve"> </w:t>
            </w:r>
            <w:proofErr w:type="spellStart"/>
            <w:r w:rsidRPr="00C47C60">
              <w:rPr>
                <w:i/>
              </w:rPr>
              <w:t>Custodes</w:t>
            </w:r>
            <w:proofErr w:type="spellEnd"/>
            <w:r>
              <w:t>? The Case of Nkrumah’s National Security Service”</w:t>
            </w:r>
          </w:p>
        </w:tc>
      </w:tr>
    </w:tbl>
    <w:p w:rsidR="0067159D" w:rsidRDefault="0067159D">
      <w:r>
        <w:br w:type="page"/>
      </w:r>
    </w:p>
    <w:tbl>
      <w:tblPr>
        <w:tblW w:w="1143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900"/>
        <w:gridCol w:w="1890"/>
        <w:gridCol w:w="4320"/>
        <w:gridCol w:w="4320"/>
      </w:tblGrid>
      <w:tr w:rsidR="00D720BD" w:rsidRPr="00CD3A1A">
        <w:tc>
          <w:tcPr>
            <w:tcW w:w="900" w:type="dxa"/>
          </w:tcPr>
          <w:p w:rsidR="00D720BD" w:rsidRPr="00CD3A1A" w:rsidRDefault="00D720BD" w:rsidP="00D720BD">
            <w:pPr>
              <w:jc w:val="center"/>
            </w:pPr>
            <w:r w:rsidRPr="00CD3A1A">
              <w:t>10/5-10/7</w:t>
            </w:r>
          </w:p>
        </w:tc>
        <w:tc>
          <w:tcPr>
            <w:tcW w:w="1890" w:type="dxa"/>
          </w:tcPr>
          <w:p w:rsidR="00D720BD" w:rsidRDefault="00D720BD" w:rsidP="00D720BD">
            <w:pPr>
              <w:jc w:val="center"/>
            </w:pPr>
          </w:p>
          <w:p w:rsidR="00D720BD" w:rsidRDefault="00D720BD" w:rsidP="00D720BD">
            <w:pPr>
              <w:jc w:val="center"/>
            </w:pPr>
            <w:r>
              <w:t>Governance in the Post-Colony</w:t>
            </w:r>
          </w:p>
          <w:p w:rsidR="00D720BD" w:rsidRDefault="00D720BD" w:rsidP="00D720BD">
            <w:pPr>
              <w:jc w:val="center"/>
            </w:pPr>
          </w:p>
          <w:p w:rsidR="00D720BD" w:rsidRDefault="00D720BD" w:rsidP="00D720BD">
            <w:pPr>
              <w:jc w:val="center"/>
            </w:pPr>
          </w:p>
          <w:p w:rsidR="00D720BD" w:rsidRDefault="00D720BD" w:rsidP="00D720BD">
            <w:pPr>
              <w:jc w:val="center"/>
            </w:pPr>
          </w:p>
          <w:p w:rsidR="00D720BD" w:rsidRDefault="00D720BD" w:rsidP="00D720BD">
            <w:pPr>
              <w:jc w:val="center"/>
            </w:pPr>
          </w:p>
          <w:p w:rsidR="00D720BD" w:rsidRPr="00CD3A1A" w:rsidRDefault="00D720BD" w:rsidP="00D720BD">
            <w:pPr>
              <w:jc w:val="center"/>
            </w:pPr>
          </w:p>
        </w:tc>
        <w:tc>
          <w:tcPr>
            <w:tcW w:w="4320" w:type="dxa"/>
          </w:tcPr>
          <w:p w:rsidR="00D720BD" w:rsidRDefault="00D720BD" w:rsidP="00D720BD">
            <w:pPr>
              <w:ind w:left="288" w:hanging="288"/>
            </w:pPr>
            <w:proofErr w:type="spellStart"/>
            <w:r>
              <w:t>LeVine</w:t>
            </w:r>
            <w:proofErr w:type="spellEnd"/>
            <w:r>
              <w:t xml:space="preserve">, “Experiments in Power, 1958-2003” </w:t>
            </w:r>
          </w:p>
          <w:p w:rsidR="00D720BD" w:rsidRDefault="00D720BD" w:rsidP="00D720BD">
            <w:pPr>
              <w:ind w:left="288" w:hanging="288"/>
            </w:pPr>
            <w:r>
              <w:t xml:space="preserve">Joseph, “Class, State and </w:t>
            </w:r>
            <w:proofErr w:type="spellStart"/>
            <w:r>
              <w:t>Prebendal</w:t>
            </w:r>
            <w:proofErr w:type="spellEnd"/>
            <w:r>
              <w:t xml:space="preserve"> Politics in Nigeria”</w:t>
            </w:r>
          </w:p>
          <w:p w:rsidR="00D720BD" w:rsidRPr="00CD3A1A" w:rsidRDefault="00D720BD" w:rsidP="00D720BD"/>
        </w:tc>
        <w:tc>
          <w:tcPr>
            <w:tcW w:w="4320" w:type="dxa"/>
          </w:tcPr>
          <w:p w:rsidR="00D720BD" w:rsidRDefault="00D720BD" w:rsidP="00D720BD">
            <w:r>
              <w:t xml:space="preserve">Jackson and </w:t>
            </w:r>
            <w:proofErr w:type="spellStart"/>
            <w:r>
              <w:t>Rosberg</w:t>
            </w:r>
            <w:proofErr w:type="spellEnd"/>
            <w:r>
              <w:t>, “Personal Rule: Theory and Practice in Africa”</w:t>
            </w:r>
          </w:p>
          <w:p w:rsidR="00D720BD" w:rsidRPr="00CD3A1A" w:rsidRDefault="00D720BD" w:rsidP="00D720BD">
            <w:proofErr w:type="spellStart"/>
            <w:r>
              <w:t>Gardinier</w:t>
            </w:r>
            <w:proofErr w:type="spellEnd"/>
            <w:r>
              <w:t>, “The Historical Origins of Francophone Africa”</w:t>
            </w:r>
          </w:p>
        </w:tc>
      </w:tr>
      <w:tr w:rsidR="00D720BD" w:rsidRPr="00CD3A1A">
        <w:tc>
          <w:tcPr>
            <w:tcW w:w="900" w:type="dxa"/>
          </w:tcPr>
          <w:p w:rsidR="00D720BD" w:rsidRPr="00CD3A1A" w:rsidRDefault="00D720BD" w:rsidP="00D720BD">
            <w:pPr>
              <w:jc w:val="center"/>
            </w:pPr>
            <w:r w:rsidRPr="00CD3A1A">
              <w:t>10/12-10/14</w:t>
            </w:r>
          </w:p>
        </w:tc>
        <w:tc>
          <w:tcPr>
            <w:tcW w:w="1890" w:type="dxa"/>
          </w:tcPr>
          <w:p w:rsidR="00D720BD" w:rsidRPr="00C47C60" w:rsidRDefault="00D720BD" w:rsidP="00D720BD">
            <w:pPr>
              <w:jc w:val="center"/>
            </w:pPr>
            <w:r w:rsidRPr="00C47C60">
              <w:t>The Modern State in Africa</w:t>
            </w:r>
          </w:p>
          <w:p w:rsidR="00D720BD" w:rsidRDefault="00D720BD" w:rsidP="00D720BD">
            <w:pPr>
              <w:jc w:val="center"/>
            </w:pPr>
          </w:p>
          <w:p w:rsidR="00D720BD" w:rsidRPr="00CD3A1A" w:rsidRDefault="00D720BD" w:rsidP="00D720BD">
            <w:pPr>
              <w:jc w:val="center"/>
            </w:pPr>
          </w:p>
        </w:tc>
        <w:tc>
          <w:tcPr>
            <w:tcW w:w="4320" w:type="dxa"/>
          </w:tcPr>
          <w:p w:rsidR="00D720BD" w:rsidRPr="002B3FF9" w:rsidRDefault="00D720BD" w:rsidP="00D720BD">
            <w:r>
              <w:t>Leonard and Strauss, “The Contemporary African State”</w:t>
            </w:r>
          </w:p>
          <w:p w:rsidR="00D720BD" w:rsidRDefault="00D720BD" w:rsidP="00D720BD">
            <w:proofErr w:type="spellStart"/>
            <w:r>
              <w:t>Chabal</w:t>
            </w:r>
            <w:proofErr w:type="spellEnd"/>
            <w:r>
              <w:t xml:space="preserve"> and </w:t>
            </w:r>
            <w:proofErr w:type="spellStart"/>
            <w:r>
              <w:t>Daloz</w:t>
            </w:r>
            <w:proofErr w:type="spellEnd"/>
            <w:r>
              <w:t>, “Whither the State” and “</w:t>
            </w:r>
            <w:r w:rsidRPr="002B3FF9">
              <w:t>The Illusions of Civil Society”</w:t>
            </w:r>
          </w:p>
          <w:p w:rsidR="00D720BD" w:rsidRPr="00CD3A1A" w:rsidRDefault="00D720BD" w:rsidP="00D720BD"/>
        </w:tc>
        <w:tc>
          <w:tcPr>
            <w:tcW w:w="4320" w:type="dxa"/>
          </w:tcPr>
          <w:p w:rsidR="00D720BD" w:rsidRDefault="00D720BD" w:rsidP="00D720BD">
            <w:proofErr w:type="spellStart"/>
            <w:r>
              <w:t>Chabal</w:t>
            </w:r>
            <w:proofErr w:type="spellEnd"/>
            <w:r>
              <w:t xml:space="preserve"> and </w:t>
            </w:r>
            <w:proofErr w:type="spellStart"/>
            <w:r>
              <w:t>Daloz</w:t>
            </w:r>
            <w:proofErr w:type="spellEnd"/>
            <w:r>
              <w:t>, “The Illusions of Civil Society”</w:t>
            </w:r>
          </w:p>
          <w:p w:rsidR="00D720BD" w:rsidRPr="00CD3A1A" w:rsidRDefault="00D720BD" w:rsidP="00D720BD">
            <w:r>
              <w:t>Widener, “States and Statelessness in Late Twentieth-Century Africa”</w:t>
            </w:r>
          </w:p>
        </w:tc>
      </w:tr>
      <w:tr w:rsidR="00D720BD" w:rsidRPr="00CD3A1A">
        <w:tc>
          <w:tcPr>
            <w:tcW w:w="900" w:type="dxa"/>
          </w:tcPr>
          <w:p w:rsidR="00D720BD" w:rsidRPr="00CD3A1A" w:rsidRDefault="00D720BD" w:rsidP="00D720BD">
            <w:pPr>
              <w:jc w:val="center"/>
            </w:pPr>
            <w:r w:rsidRPr="00CD3A1A">
              <w:t>10/26-10/28</w:t>
            </w:r>
          </w:p>
        </w:tc>
        <w:tc>
          <w:tcPr>
            <w:tcW w:w="1890" w:type="dxa"/>
          </w:tcPr>
          <w:p w:rsidR="00D720BD" w:rsidRDefault="00D720BD" w:rsidP="00D720BD">
            <w:pPr>
              <w:jc w:val="center"/>
            </w:pPr>
          </w:p>
          <w:p w:rsidR="00D720BD" w:rsidRDefault="00D720BD" w:rsidP="00D720BD">
            <w:pPr>
              <w:jc w:val="center"/>
            </w:pPr>
            <w:r>
              <w:t>Class and Ethnicity</w:t>
            </w:r>
          </w:p>
          <w:p w:rsidR="00D720BD" w:rsidRDefault="00D720BD" w:rsidP="00D720BD">
            <w:pPr>
              <w:jc w:val="center"/>
            </w:pPr>
          </w:p>
          <w:p w:rsidR="00D720BD" w:rsidRDefault="00D720BD" w:rsidP="00D720BD">
            <w:pPr>
              <w:jc w:val="center"/>
            </w:pPr>
          </w:p>
          <w:p w:rsidR="00D720BD" w:rsidRDefault="00D720BD" w:rsidP="00D720BD">
            <w:pPr>
              <w:jc w:val="center"/>
            </w:pPr>
          </w:p>
          <w:p w:rsidR="00D720BD" w:rsidRDefault="00D720BD" w:rsidP="00D720BD">
            <w:pPr>
              <w:jc w:val="center"/>
            </w:pPr>
          </w:p>
          <w:p w:rsidR="00D720BD" w:rsidRPr="00CD3A1A" w:rsidRDefault="00D720BD" w:rsidP="00D720BD">
            <w:pPr>
              <w:jc w:val="center"/>
            </w:pPr>
          </w:p>
        </w:tc>
        <w:tc>
          <w:tcPr>
            <w:tcW w:w="4320" w:type="dxa"/>
          </w:tcPr>
          <w:p w:rsidR="00D720BD" w:rsidRDefault="00D720BD" w:rsidP="00D720BD">
            <w:proofErr w:type="spellStart"/>
            <w:r>
              <w:t>Chabal</w:t>
            </w:r>
            <w:proofErr w:type="spellEnd"/>
            <w:r>
              <w:t xml:space="preserve"> and </w:t>
            </w:r>
            <w:proofErr w:type="spellStart"/>
            <w:r>
              <w:t>Daloz</w:t>
            </w:r>
            <w:proofErr w:type="spellEnd"/>
            <w:r>
              <w:t xml:space="preserve">, </w:t>
            </w:r>
            <w:r w:rsidRPr="002B3FF9">
              <w:t>“Recycled Elites</w:t>
            </w:r>
            <w:r>
              <w:t xml:space="preserve">” and </w:t>
            </w:r>
          </w:p>
          <w:p w:rsidR="00D720BD" w:rsidRPr="00C47C60" w:rsidRDefault="00D720BD" w:rsidP="00D720BD">
            <w:proofErr w:type="spellStart"/>
            <w:r w:rsidRPr="00C47C60">
              <w:t>Kasfir</w:t>
            </w:r>
            <w:proofErr w:type="spellEnd"/>
            <w:r w:rsidRPr="00C47C60">
              <w:t>, “Explaining</w:t>
            </w:r>
            <w:r>
              <w:t xml:space="preserve"> Ethnic Political Participation</w:t>
            </w:r>
            <w:r w:rsidRPr="00C47C60">
              <w:t>”</w:t>
            </w:r>
          </w:p>
        </w:tc>
        <w:tc>
          <w:tcPr>
            <w:tcW w:w="4320" w:type="dxa"/>
          </w:tcPr>
          <w:p w:rsidR="00D720BD" w:rsidRDefault="00D720BD" w:rsidP="00D720BD">
            <w:proofErr w:type="spellStart"/>
            <w:r>
              <w:t>Chabal</w:t>
            </w:r>
            <w:proofErr w:type="spellEnd"/>
            <w:r>
              <w:t xml:space="preserve"> and </w:t>
            </w:r>
            <w:proofErr w:type="spellStart"/>
            <w:r>
              <w:t>Daloz</w:t>
            </w:r>
            <w:proofErr w:type="spellEnd"/>
            <w:r>
              <w:t>, “Of Masks and Men, The Question of Identity”</w:t>
            </w:r>
          </w:p>
          <w:p w:rsidR="00D720BD" w:rsidRDefault="00D720BD" w:rsidP="00D720BD">
            <w:r>
              <w:t>Posner, “The Political Salience of Cultural Difference”</w:t>
            </w:r>
          </w:p>
          <w:p w:rsidR="00D720BD" w:rsidRPr="00CD3A1A" w:rsidRDefault="00D720BD" w:rsidP="00D720BD"/>
        </w:tc>
      </w:tr>
      <w:tr w:rsidR="00D720BD" w:rsidRPr="00CD3A1A">
        <w:tc>
          <w:tcPr>
            <w:tcW w:w="900" w:type="dxa"/>
          </w:tcPr>
          <w:p w:rsidR="00D720BD" w:rsidRPr="00CD3A1A" w:rsidRDefault="00D720BD" w:rsidP="00D720BD">
            <w:pPr>
              <w:jc w:val="center"/>
            </w:pPr>
            <w:r w:rsidRPr="00CD3A1A">
              <w:t>11/2-11/4</w:t>
            </w:r>
          </w:p>
        </w:tc>
        <w:tc>
          <w:tcPr>
            <w:tcW w:w="1890" w:type="dxa"/>
          </w:tcPr>
          <w:p w:rsidR="00D720BD" w:rsidRDefault="00D720BD" w:rsidP="00D720BD">
            <w:pPr>
              <w:jc w:val="center"/>
            </w:pPr>
          </w:p>
          <w:p w:rsidR="00D720BD" w:rsidRDefault="00D720BD" w:rsidP="00D720BD">
            <w:pPr>
              <w:jc w:val="center"/>
            </w:pPr>
            <w:r>
              <w:t>Political Culture(s)</w:t>
            </w:r>
          </w:p>
          <w:p w:rsidR="00D720BD" w:rsidRDefault="00D720BD" w:rsidP="00D720BD">
            <w:pPr>
              <w:jc w:val="center"/>
            </w:pPr>
            <w:r>
              <w:t>and Politics of the African Novel</w:t>
            </w:r>
          </w:p>
          <w:p w:rsidR="00D720BD" w:rsidRPr="00CD3A1A" w:rsidRDefault="00D720BD" w:rsidP="00D720BD"/>
        </w:tc>
        <w:tc>
          <w:tcPr>
            <w:tcW w:w="4320" w:type="dxa"/>
          </w:tcPr>
          <w:p w:rsidR="00D720BD" w:rsidRDefault="00D720BD" w:rsidP="00D720BD">
            <w:proofErr w:type="spellStart"/>
            <w:r>
              <w:t>Chabal</w:t>
            </w:r>
            <w:proofErr w:type="spellEnd"/>
            <w:r>
              <w:t xml:space="preserve"> and </w:t>
            </w:r>
            <w:proofErr w:type="spellStart"/>
            <w:r>
              <w:t>Daloz</w:t>
            </w:r>
            <w:proofErr w:type="spellEnd"/>
            <w:r>
              <w:t>, “The Taming of the Irrational: Witchcraft &amp; Religion”</w:t>
            </w:r>
          </w:p>
          <w:p w:rsidR="00D720BD" w:rsidRDefault="00D720BD" w:rsidP="00D720BD"/>
          <w:p w:rsidR="00D720BD" w:rsidRPr="001620E6" w:rsidRDefault="00D720BD" w:rsidP="00D720BD">
            <w:r>
              <w:t xml:space="preserve">Achebe, </w:t>
            </w:r>
            <w:r>
              <w:rPr>
                <w:i/>
              </w:rPr>
              <w:t>A Man of the People</w:t>
            </w:r>
          </w:p>
        </w:tc>
        <w:tc>
          <w:tcPr>
            <w:tcW w:w="4320" w:type="dxa"/>
          </w:tcPr>
          <w:p w:rsidR="00D720BD" w:rsidRDefault="00D720BD" w:rsidP="00D720BD">
            <w:r>
              <w:t xml:space="preserve">Achebe, </w:t>
            </w:r>
            <w:r>
              <w:rPr>
                <w:i/>
              </w:rPr>
              <w:t>A Man of the People</w:t>
            </w:r>
          </w:p>
          <w:p w:rsidR="00D720BD" w:rsidRDefault="00D720BD" w:rsidP="00D720BD">
            <w:pPr>
              <w:rPr>
                <w:color w:val="FF0000"/>
              </w:rPr>
            </w:pPr>
          </w:p>
          <w:p w:rsidR="00D720BD" w:rsidRPr="00AF1A2A" w:rsidRDefault="00D720BD" w:rsidP="00D720BD">
            <w:pPr>
              <w:rPr>
                <w:color w:val="FF0000"/>
              </w:rPr>
            </w:pPr>
            <w:r w:rsidRPr="00AF1A2A">
              <w:rPr>
                <w:color w:val="FF0000"/>
              </w:rPr>
              <w:t>Reflection Paper 2 due</w:t>
            </w:r>
          </w:p>
        </w:tc>
      </w:tr>
      <w:tr w:rsidR="00D720BD" w:rsidRPr="00CD3A1A">
        <w:tc>
          <w:tcPr>
            <w:tcW w:w="900" w:type="dxa"/>
          </w:tcPr>
          <w:p w:rsidR="00D720BD" w:rsidRPr="00CD3A1A" w:rsidRDefault="00D720BD" w:rsidP="00D720BD">
            <w:pPr>
              <w:jc w:val="center"/>
            </w:pPr>
            <w:r w:rsidRPr="00CD3A1A">
              <w:t>11/9-11/11</w:t>
            </w:r>
          </w:p>
        </w:tc>
        <w:tc>
          <w:tcPr>
            <w:tcW w:w="1890" w:type="dxa"/>
          </w:tcPr>
          <w:p w:rsidR="00D720BD" w:rsidRDefault="00D720BD" w:rsidP="00D720BD">
            <w:pPr>
              <w:jc w:val="center"/>
            </w:pPr>
          </w:p>
          <w:p w:rsidR="00D720BD" w:rsidRDefault="00D720BD" w:rsidP="00D720BD">
            <w:pPr>
              <w:jc w:val="center"/>
            </w:pPr>
          </w:p>
          <w:p w:rsidR="00D720BD" w:rsidRDefault="00D720BD" w:rsidP="00D720BD">
            <w:pPr>
              <w:jc w:val="center"/>
            </w:pPr>
            <w:r>
              <w:t>Critical Issues in Africa I (Development)</w:t>
            </w:r>
          </w:p>
          <w:p w:rsidR="00D720BD" w:rsidRDefault="00D720BD" w:rsidP="00D720BD">
            <w:pPr>
              <w:jc w:val="center"/>
            </w:pPr>
          </w:p>
          <w:p w:rsidR="00D720BD" w:rsidRDefault="00D720BD" w:rsidP="00D720BD">
            <w:pPr>
              <w:jc w:val="center"/>
            </w:pPr>
          </w:p>
          <w:p w:rsidR="00D720BD" w:rsidRDefault="00D720BD" w:rsidP="00D720BD">
            <w:pPr>
              <w:jc w:val="center"/>
            </w:pPr>
          </w:p>
          <w:p w:rsidR="00D720BD" w:rsidRPr="00CD3A1A" w:rsidRDefault="00D720BD" w:rsidP="00D720BD">
            <w:pPr>
              <w:jc w:val="center"/>
            </w:pPr>
          </w:p>
        </w:tc>
        <w:tc>
          <w:tcPr>
            <w:tcW w:w="4320" w:type="dxa"/>
          </w:tcPr>
          <w:p w:rsidR="00D720BD" w:rsidRPr="00CD3A1A" w:rsidRDefault="00D720BD" w:rsidP="00D720BD">
            <w:pPr>
              <w:jc w:val="center"/>
            </w:pPr>
            <w:r>
              <w:t>Test 2</w:t>
            </w:r>
          </w:p>
        </w:tc>
        <w:tc>
          <w:tcPr>
            <w:tcW w:w="4320" w:type="dxa"/>
          </w:tcPr>
          <w:p w:rsidR="00D720BD" w:rsidRPr="00CD3A1A" w:rsidRDefault="00D720BD" w:rsidP="00D720BD">
            <w:r>
              <w:t>Leonard and Strauss, chapters 1-3</w:t>
            </w:r>
          </w:p>
        </w:tc>
      </w:tr>
      <w:tr w:rsidR="00D720BD" w:rsidRPr="00CD3A1A">
        <w:tc>
          <w:tcPr>
            <w:tcW w:w="900" w:type="dxa"/>
          </w:tcPr>
          <w:p w:rsidR="00D720BD" w:rsidRPr="00CD3A1A" w:rsidRDefault="00D720BD" w:rsidP="00D720BD">
            <w:pPr>
              <w:jc w:val="center"/>
            </w:pPr>
            <w:r w:rsidRPr="00CD3A1A">
              <w:t>11/16-1118</w:t>
            </w:r>
          </w:p>
        </w:tc>
        <w:tc>
          <w:tcPr>
            <w:tcW w:w="1890" w:type="dxa"/>
          </w:tcPr>
          <w:p w:rsidR="00D720BD" w:rsidRDefault="00D720BD" w:rsidP="00D720BD">
            <w:pPr>
              <w:jc w:val="center"/>
            </w:pPr>
          </w:p>
          <w:p w:rsidR="003445B0" w:rsidRDefault="00D720BD" w:rsidP="00D720BD">
            <w:pPr>
              <w:jc w:val="center"/>
            </w:pPr>
            <w:r>
              <w:t>Development</w:t>
            </w:r>
            <w:r w:rsidR="003445B0">
              <w:t>/</w:t>
            </w:r>
          </w:p>
          <w:p w:rsidR="00D720BD" w:rsidRDefault="003445B0" w:rsidP="00D720BD">
            <w:pPr>
              <w:jc w:val="center"/>
            </w:pPr>
            <w:r>
              <w:t>Conflict</w:t>
            </w:r>
          </w:p>
          <w:p w:rsidR="00D720BD" w:rsidRDefault="00D720BD" w:rsidP="00D720BD">
            <w:pPr>
              <w:jc w:val="center"/>
            </w:pPr>
          </w:p>
          <w:p w:rsidR="00D720BD" w:rsidRPr="00CD3A1A" w:rsidRDefault="00D720BD" w:rsidP="0067159D"/>
        </w:tc>
        <w:tc>
          <w:tcPr>
            <w:tcW w:w="4320" w:type="dxa"/>
          </w:tcPr>
          <w:p w:rsidR="00D720BD" w:rsidRPr="00DC1E73" w:rsidRDefault="00D720BD" w:rsidP="00D720BD">
            <w:proofErr w:type="spellStart"/>
            <w:r w:rsidRPr="00DC1E73">
              <w:t>Arrighi</w:t>
            </w:r>
            <w:proofErr w:type="spellEnd"/>
            <w:r w:rsidRPr="00DC1E73">
              <w:t>, Giovanni. 2002. “The African Crisis: World Systemic and Regional Aspects,” New Left Review 15 (May/June): pp: 5-36</w:t>
            </w:r>
          </w:p>
          <w:p w:rsidR="00D720BD" w:rsidRPr="00DC1E73" w:rsidRDefault="00D720BD" w:rsidP="0067159D">
            <w:r w:rsidRPr="00DC1E73">
              <w:t>Bates, Robert. 1981. “Rental Havens and Protective Shelters,” and “The O</w:t>
            </w:r>
            <w:r w:rsidR="0067159D">
              <w:t xml:space="preserve">rigins of Political </w:t>
            </w:r>
            <w:proofErr w:type="spellStart"/>
            <w:r w:rsidR="0067159D">
              <w:t>Marginalism</w:t>
            </w:r>
            <w:proofErr w:type="spellEnd"/>
            <w:r w:rsidRPr="00DC1E73">
              <w:t>”</w:t>
            </w:r>
          </w:p>
        </w:tc>
        <w:tc>
          <w:tcPr>
            <w:tcW w:w="4320" w:type="dxa"/>
          </w:tcPr>
          <w:p w:rsidR="003445B0" w:rsidRDefault="00D720BD" w:rsidP="003445B0">
            <w:proofErr w:type="spellStart"/>
            <w:r>
              <w:t>Chabal</w:t>
            </w:r>
            <w:proofErr w:type="spellEnd"/>
            <w:r>
              <w:t xml:space="preserve"> and </w:t>
            </w:r>
            <w:proofErr w:type="spellStart"/>
            <w:r>
              <w:t>Daloz</w:t>
            </w:r>
            <w:proofErr w:type="spellEnd"/>
            <w:r>
              <w:t>, “The Productivity of Economic ‘Failure’ ”(93-138)</w:t>
            </w:r>
            <w:r w:rsidR="003445B0">
              <w:t xml:space="preserve"> </w:t>
            </w:r>
          </w:p>
          <w:p w:rsidR="003445B0" w:rsidRDefault="003445B0" w:rsidP="003445B0"/>
          <w:p w:rsidR="003445B0" w:rsidRDefault="003445B0" w:rsidP="003445B0">
            <w:proofErr w:type="spellStart"/>
            <w:r>
              <w:t>Chabal</w:t>
            </w:r>
            <w:proofErr w:type="spellEnd"/>
            <w:r>
              <w:t xml:space="preserve"> and </w:t>
            </w:r>
            <w:proofErr w:type="spellStart"/>
            <w:r>
              <w:t>Daloz</w:t>
            </w:r>
            <w:proofErr w:type="spellEnd"/>
            <w:r>
              <w:t>, “The Profits of Violence”</w:t>
            </w:r>
          </w:p>
          <w:p w:rsidR="00D720BD" w:rsidRPr="00CD3A1A" w:rsidRDefault="00D720BD" w:rsidP="00D720BD"/>
        </w:tc>
      </w:tr>
      <w:tr w:rsidR="00D720BD" w:rsidRPr="00CD3A1A">
        <w:tc>
          <w:tcPr>
            <w:tcW w:w="900" w:type="dxa"/>
          </w:tcPr>
          <w:p w:rsidR="00D720BD" w:rsidRPr="00CD3A1A" w:rsidRDefault="00D720BD" w:rsidP="00D720BD">
            <w:pPr>
              <w:jc w:val="center"/>
            </w:pPr>
            <w:r w:rsidRPr="00CD3A1A">
              <w:t>11/23</w:t>
            </w:r>
          </w:p>
        </w:tc>
        <w:tc>
          <w:tcPr>
            <w:tcW w:w="1890" w:type="dxa"/>
          </w:tcPr>
          <w:p w:rsidR="00D720BD" w:rsidRDefault="00D720BD" w:rsidP="00D720BD">
            <w:pPr>
              <w:jc w:val="center"/>
            </w:pPr>
          </w:p>
          <w:p w:rsidR="00D720BD" w:rsidRDefault="00D720BD" w:rsidP="00D720BD">
            <w:pPr>
              <w:jc w:val="center"/>
            </w:pPr>
            <w:r>
              <w:t>CRITICAL ISSUES: Conflict</w:t>
            </w:r>
          </w:p>
          <w:p w:rsidR="00D720BD" w:rsidRDefault="00D720BD" w:rsidP="00D720BD">
            <w:pPr>
              <w:jc w:val="center"/>
            </w:pPr>
          </w:p>
          <w:p w:rsidR="00D720BD" w:rsidRPr="00CD3A1A" w:rsidRDefault="00D720BD" w:rsidP="00D720BD">
            <w:pPr>
              <w:jc w:val="center"/>
            </w:pPr>
          </w:p>
        </w:tc>
        <w:tc>
          <w:tcPr>
            <w:tcW w:w="4320" w:type="dxa"/>
          </w:tcPr>
          <w:p w:rsidR="00D720BD" w:rsidRDefault="00D720BD" w:rsidP="00D720BD">
            <w:pPr>
              <w:rPr>
                <w:bCs/>
              </w:rPr>
            </w:pPr>
            <w:proofErr w:type="spellStart"/>
            <w:r>
              <w:t>deWalle</w:t>
            </w:r>
            <w:proofErr w:type="spellEnd"/>
            <w:r>
              <w:t>, “Tragedy in Darfur</w:t>
            </w:r>
            <w:r>
              <w:rPr>
                <w:bCs/>
              </w:rPr>
              <w:t>”</w:t>
            </w:r>
          </w:p>
          <w:p w:rsidR="00D720BD" w:rsidRPr="0064151D" w:rsidRDefault="00D720BD" w:rsidP="00D720BD">
            <w:r>
              <w:t>Leonard and Strauss, “The Causes of Civil Conflict” and “Civil Conflict and Humanitarian Intervention”</w:t>
            </w:r>
          </w:p>
        </w:tc>
        <w:tc>
          <w:tcPr>
            <w:tcW w:w="4320" w:type="dxa"/>
          </w:tcPr>
          <w:p w:rsidR="00D720BD" w:rsidRPr="00CD3A1A" w:rsidRDefault="00D720BD" w:rsidP="00D720BD">
            <w:pPr>
              <w:jc w:val="center"/>
            </w:pPr>
            <w:r w:rsidRPr="00CD3A1A">
              <w:t>-----</w:t>
            </w:r>
          </w:p>
        </w:tc>
      </w:tr>
      <w:tr w:rsidR="00D720BD" w:rsidRPr="00CD3A1A">
        <w:tc>
          <w:tcPr>
            <w:tcW w:w="900" w:type="dxa"/>
          </w:tcPr>
          <w:p w:rsidR="00D720BD" w:rsidRPr="00CD3A1A" w:rsidRDefault="00D720BD" w:rsidP="00D720BD">
            <w:pPr>
              <w:jc w:val="center"/>
            </w:pPr>
            <w:r w:rsidRPr="00CD3A1A">
              <w:t>11/30/12/2</w:t>
            </w:r>
          </w:p>
        </w:tc>
        <w:tc>
          <w:tcPr>
            <w:tcW w:w="1890" w:type="dxa"/>
          </w:tcPr>
          <w:p w:rsidR="00D720BD" w:rsidRDefault="00D720BD" w:rsidP="00D720BD">
            <w:pPr>
              <w:jc w:val="center"/>
            </w:pPr>
          </w:p>
          <w:p w:rsidR="00D720BD" w:rsidRDefault="00D720BD" w:rsidP="00D720BD">
            <w:pPr>
              <w:jc w:val="center"/>
            </w:pPr>
          </w:p>
          <w:p w:rsidR="00D720BD" w:rsidRDefault="00D720BD" w:rsidP="00D720BD">
            <w:pPr>
              <w:jc w:val="center"/>
            </w:pPr>
          </w:p>
          <w:p w:rsidR="00D720BD" w:rsidRDefault="00D720BD" w:rsidP="00D720BD">
            <w:pPr>
              <w:jc w:val="center"/>
            </w:pPr>
          </w:p>
          <w:p w:rsidR="00D720BD" w:rsidRDefault="00D720BD" w:rsidP="00D720BD">
            <w:pPr>
              <w:jc w:val="center"/>
            </w:pPr>
            <w:r>
              <w:t>CRITICAL ISSUES: REGIME CHANGE AND HIV/AIDS</w:t>
            </w:r>
          </w:p>
          <w:p w:rsidR="00D720BD" w:rsidRDefault="00D720BD" w:rsidP="00D720BD">
            <w:pPr>
              <w:jc w:val="center"/>
            </w:pPr>
          </w:p>
          <w:p w:rsidR="00D720BD" w:rsidRDefault="00D720BD" w:rsidP="00D720BD">
            <w:pPr>
              <w:jc w:val="center"/>
            </w:pPr>
          </w:p>
          <w:p w:rsidR="00D720BD" w:rsidRDefault="00D720BD" w:rsidP="00D720BD">
            <w:pPr>
              <w:jc w:val="center"/>
            </w:pPr>
          </w:p>
          <w:p w:rsidR="00D720BD" w:rsidRPr="00CD3A1A" w:rsidRDefault="00D720BD" w:rsidP="00D720BD">
            <w:pPr>
              <w:jc w:val="center"/>
            </w:pPr>
          </w:p>
        </w:tc>
        <w:tc>
          <w:tcPr>
            <w:tcW w:w="4320" w:type="dxa"/>
          </w:tcPr>
          <w:p w:rsidR="00D720BD" w:rsidRDefault="00D720BD" w:rsidP="00D720BD">
            <w:pPr>
              <w:ind w:left="720" w:hanging="720"/>
              <w:rPr>
                <w:bCs/>
              </w:rPr>
            </w:pPr>
            <w:proofErr w:type="spellStart"/>
            <w:r>
              <w:rPr>
                <w:bCs/>
              </w:rPr>
              <w:t>Gyimah-Boadi</w:t>
            </w:r>
            <w:proofErr w:type="spellEnd"/>
            <w:r>
              <w:rPr>
                <w:bCs/>
              </w:rPr>
              <w:t xml:space="preserve">, E. 2004. “Africa: The Quality of Democratic Reform,” in his (ed.) </w:t>
            </w:r>
            <w:r>
              <w:rPr>
                <w:bCs/>
                <w:i/>
              </w:rPr>
              <w:t>Democratic Reform in Africa: The Quality of Progress</w:t>
            </w:r>
            <w:r>
              <w:rPr>
                <w:bCs/>
              </w:rPr>
              <w:t xml:space="preserve">, 5-27. </w:t>
            </w:r>
          </w:p>
          <w:p w:rsidR="00D720BD" w:rsidRPr="00896804" w:rsidRDefault="00D720BD" w:rsidP="00D720BD">
            <w:pPr>
              <w:ind w:left="720" w:hanging="720"/>
              <w:rPr>
                <w:bCs/>
              </w:rPr>
            </w:pPr>
            <w:proofErr w:type="spellStart"/>
            <w:r>
              <w:t>Ihonvbere</w:t>
            </w:r>
            <w:proofErr w:type="spellEnd"/>
            <w:r>
              <w:t>, Julius O. 2002. “Military Disengagement from Politics and Constitutionalism in Africa: Challenges and Opportunities”</w:t>
            </w:r>
          </w:p>
          <w:p w:rsidR="00D720BD" w:rsidRPr="00CD3A1A" w:rsidRDefault="00D720BD" w:rsidP="00D720BD">
            <w:pPr>
              <w:jc w:val="center"/>
            </w:pPr>
          </w:p>
        </w:tc>
        <w:tc>
          <w:tcPr>
            <w:tcW w:w="4320" w:type="dxa"/>
          </w:tcPr>
          <w:p w:rsidR="00D720BD" w:rsidRDefault="00D720BD" w:rsidP="00D720BD">
            <w:r>
              <w:t xml:space="preserve">Boone and </w:t>
            </w:r>
            <w:proofErr w:type="spellStart"/>
            <w:r>
              <w:t>Batsell</w:t>
            </w:r>
            <w:proofErr w:type="spellEnd"/>
            <w:r>
              <w:t>, “</w:t>
            </w:r>
            <w:r w:rsidRPr="0064151D">
              <w:t>Politics and AIDS in Africa</w:t>
            </w:r>
            <w:r>
              <w:t>”</w:t>
            </w:r>
          </w:p>
          <w:p w:rsidR="00D720BD" w:rsidRDefault="00D720BD" w:rsidP="00D720BD">
            <w:pPr>
              <w:rPr>
                <w:color w:val="FF0000"/>
              </w:rPr>
            </w:pPr>
            <w:r>
              <w:rPr>
                <w:color w:val="FF0000"/>
              </w:rPr>
              <w:t>More reading TBA (awaiting publication of securitization articles)</w:t>
            </w:r>
          </w:p>
          <w:p w:rsidR="00D720BD" w:rsidRPr="00765F89" w:rsidRDefault="00D720BD" w:rsidP="00D720BD">
            <w:pPr>
              <w:rPr>
                <w:color w:val="FF0000"/>
              </w:rPr>
            </w:pPr>
            <w:r w:rsidRPr="00765F89">
              <w:rPr>
                <w:color w:val="FF0000"/>
              </w:rPr>
              <w:t>Reflection Paper 3</w:t>
            </w:r>
          </w:p>
        </w:tc>
      </w:tr>
      <w:tr w:rsidR="00D720BD" w:rsidRPr="00CD3A1A">
        <w:tc>
          <w:tcPr>
            <w:tcW w:w="900" w:type="dxa"/>
          </w:tcPr>
          <w:p w:rsidR="00D720BD" w:rsidRPr="00CD3A1A" w:rsidRDefault="00D720BD" w:rsidP="00D720BD">
            <w:pPr>
              <w:jc w:val="center"/>
            </w:pPr>
            <w:r w:rsidRPr="00CD3A1A">
              <w:t>12/7-12/9</w:t>
            </w:r>
          </w:p>
        </w:tc>
        <w:tc>
          <w:tcPr>
            <w:tcW w:w="1890" w:type="dxa"/>
          </w:tcPr>
          <w:p w:rsidR="00D720BD" w:rsidRDefault="00D720BD" w:rsidP="00D720BD">
            <w:pPr>
              <w:jc w:val="center"/>
            </w:pPr>
          </w:p>
          <w:p w:rsidR="00D720BD" w:rsidRDefault="00D720BD" w:rsidP="00D720BD">
            <w:pPr>
              <w:jc w:val="center"/>
            </w:pPr>
            <w:r>
              <w:t>Africa and the Global Century</w:t>
            </w:r>
          </w:p>
          <w:p w:rsidR="00D720BD" w:rsidRDefault="00D720BD" w:rsidP="00D720BD">
            <w:pPr>
              <w:jc w:val="center"/>
            </w:pPr>
          </w:p>
          <w:p w:rsidR="00D720BD" w:rsidRDefault="00D720BD" w:rsidP="00D720BD">
            <w:pPr>
              <w:jc w:val="center"/>
            </w:pPr>
          </w:p>
          <w:p w:rsidR="00D720BD" w:rsidRDefault="00D720BD" w:rsidP="00D720BD">
            <w:pPr>
              <w:jc w:val="center"/>
            </w:pPr>
          </w:p>
          <w:p w:rsidR="00D720BD" w:rsidRDefault="00D720BD" w:rsidP="00D720BD">
            <w:pPr>
              <w:jc w:val="center"/>
            </w:pPr>
          </w:p>
          <w:p w:rsidR="00D720BD" w:rsidRPr="00CD3A1A" w:rsidRDefault="00D720BD" w:rsidP="00D720BD">
            <w:pPr>
              <w:jc w:val="center"/>
            </w:pPr>
          </w:p>
        </w:tc>
        <w:tc>
          <w:tcPr>
            <w:tcW w:w="4320" w:type="dxa"/>
          </w:tcPr>
          <w:p w:rsidR="00D720BD" w:rsidRPr="00CD3A1A" w:rsidRDefault="00D720BD" w:rsidP="00D720BD">
            <w:r>
              <w:t>TBA</w:t>
            </w:r>
          </w:p>
        </w:tc>
        <w:tc>
          <w:tcPr>
            <w:tcW w:w="4320" w:type="dxa"/>
          </w:tcPr>
          <w:p w:rsidR="00D720BD" w:rsidRPr="00CD3A1A" w:rsidRDefault="00D720BD" w:rsidP="00D720BD">
            <w:pPr>
              <w:jc w:val="center"/>
            </w:pPr>
            <w:r>
              <w:t>TBA</w:t>
            </w:r>
          </w:p>
        </w:tc>
      </w:tr>
    </w:tbl>
    <w:p w:rsidR="00D720BD" w:rsidRDefault="00D720BD" w:rsidP="0067159D"/>
    <w:sectPr w:rsidR="00D720BD" w:rsidSect="00D720BD">
      <w:head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244" w:rsidRDefault="00DC7244" w:rsidP="00DC7244">
      <w:r>
        <w:separator/>
      </w:r>
    </w:p>
  </w:endnote>
  <w:endnote w:type="continuationSeparator" w:id="0">
    <w:p w:rsidR="00DC7244" w:rsidRDefault="00DC7244" w:rsidP="00DC72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244" w:rsidRDefault="00DC7244" w:rsidP="00DC7244">
      <w:r>
        <w:separator/>
      </w:r>
    </w:p>
  </w:footnote>
  <w:footnote w:type="continuationSeparator" w:id="0">
    <w:p w:rsidR="00DC7244" w:rsidRDefault="00DC7244" w:rsidP="00DC7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59D" w:rsidRDefault="00DC7244">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234pt;margin-top:-18pt;width:178.2pt;height:59.4pt;z-index:251658240;mso-position-horizontal:absolute;mso-position-vertical:absolute" wrapcoords="-91 0 -91 21327 21600 21327 21600 0 -91 0" stroked="f">
          <v:textbox style="mso-next-textbox:#_x0000_s2049">
            <w:txbxContent>
              <w:p w:rsidR="0067159D" w:rsidRPr="00F53C74" w:rsidRDefault="0067159D" w:rsidP="0067159D">
                <w:pPr>
                  <w:pStyle w:val="BodyText"/>
                  <w:rPr>
                    <w:sz w:val="20"/>
                  </w:rPr>
                </w:pPr>
                <w:r w:rsidRPr="00F53C74">
                  <w:rPr>
                    <w:sz w:val="20"/>
                  </w:rPr>
                  <w:t xml:space="preserve">Office </w:t>
                </w:r>
                <w:r w:rsidRPr="00F53C74">
                  <w:rPr>
                    <w:b/>
                    <w:bCs/>
                    <w:sz w:val="20"/>
                  </w:rPr>
                  <w:t>Hours</w:t>
                </w:r>
                <w:r w:rsidRPr="00F53C74">
                  <w:rPr>
                    <w:sz w:val="20"/>
                  </w:rPr>
                  <w:t xml:space="preserve">: </w:t>
                </w:r>
                <w:r w:rsidRPr="00F53C74">
                  <w:rPr>
                    <w:sz w:val="20"/>
                  </w:rPr>
                  <w:tab/>
                </w:r>
                <w:r>
                  <w:rPr>
                    <w:sz w:val="20"/>
                  </w:rPr>
                  <w:t xml:space="preserve">by appointment and </w:t>
                </w:r>
              </w:p>
              <w:p w:rsidR="0067159D" w:rsidRPr="00F53C74" w:rsidRDefault="0067159D" w:rsidP="0067159D">
                <w:r>
                  <w:t>M</w:t>
                </w:r>
                <w:r w:rsidRPr="00F53C74">
                  <w:tab/>
                </w:r>
                <w:r>
                  <w:t>9:30-11:00</w:t>
                </w:r>
              </w:p>
              <w:p w:rsidR="0067159D" w:rsidRPr="00F53C74" w:rsidRDefault="0067159D" w:rsidP="0067159D">
                <w:r>
                  <w:t>W</w:t>
                </w:r>
                <w:r w:rsidRPr="00F53C74">
                  <w:tab/>
                </w:r>
                <w:r>
                  <w:t>1:45-2:45</w:t>
                </w:r>
              </w:p>
              <w:p w:rsidR="0067159D" w:rsidRPr="00F53C74" w:rsidRDefault="0067159D" w:rsidP="0067159D">
                <w:pPr>
                  <w:pStyle w:val="BodyText"/>
                  <w:rPr>
                    <w:sz w:val="20"/>
                  </w:rPr>
                </w:pPr>
                <w:r>
                  <w:rPr>
                    <w:sz w:val="20"/>
                  </w:rPr>
                  <w:t>R</w:t>
                </w:r>
                <w:r>
                  <w:rPr>
                    <w:sz w:val="20"/>
                  </w:rPr>
                  <w:tab/>
                  <w:t>1:00-2:30</w:t>
                </w:r>
              </w:p>
              <w:p w:rsidR="0067159D" w:rsidRDefault="0067159D" w:rsidP="0067159D"/>
            </w:txbxContent>
          </v:textbox>
          <w10:wrap type="tight"/>
        </v:shape>
      </w:pict>
    </w:r>
    <w:r>
      <w:rPr>
        <w:noProof/>
      </w:rPr>
      <w:pict>
        <v:shape id="_x0000_s2051" type="#_x0000_t202" style="position:absolute;margin-left:-36pt;margin-top:-18pt;width:157.05pt;height:54pt;z-index:251659264;mso-position-horizontal:absolute;mso-position-vertical:absolute" wrapcoords="-103 0 -103 21300 21600 21300 21600 0 -103 0" stroked="f">
          <v:textbox style="mso-next-textbox:#_x0000_s2051">
            <w:txbxContent>
              <w:p w:rsidR="0067159D" w:rsidRPr="006B4138" w:rsidRDefault="0067159D" w:rsidP="0067159D">
                <w:pPr>
                  <w:pStyle w:val="BodyText"/>
                  <w:rPr>
                    <w:sz w:val="20"/>
                  </w:rPr>
                </w:pPr>
                <w:r w:rsidRPr="006B4138">
                  <w:rPr>
                    <w:b/>
                    <w:bCs/>
                    <w:sz w:val="20"/>
                  </w:rPr>
                  <w:t>Instructor</w:t>
                </w:r>
                <w:r w:rsidRPr="006B4138">
                  <w:rPr>
                    <w:sz w:val="20"/>
                  </w:rPr>
                  <w:t>: Brett R. O’Bannon</w:t>
                </w:r>
              </w:p>
              <w:p w:rsidR="0067159D" w:rsidRPr="006B4138" w:rsidRDefault="0067159D" w:rsidP="0067159D">
                <w:pPr>
                  <w:pStyle w:val="BodyText"/>
                  <w:rPr>
                    <w:sz w:val="20"/>
                  </w:rPr>
                </w:pPr>
                <w:r w:rsidRPr="006B4138">
                  <w:rPr>
                    <w:b/>
                    <w:bCs/>
                    <w:sz w:val="20"/>
                  </w:rPr>
                  <w:t>Office</w:t>
                </w:r>
                <w:r w:rsidRPr="006B4138">
                  <w:rPr>
                    <w:sz w:val="20"/>
                  </w:rPr>
                  <w:t>: 108c Asbury Hall</w:t>
                </w:r>
              </w:p>
              <w:p w:rsidR="0067159D" w:rsidRPr="006B4138" w:rsidRDefault="0067159D" w:rsidP="0067159D">
                <w:pPr>
                  <w:pStyle w:val="BodyText"/>
                  <w:rPr>
                    <w:bCs/>
                    <w:sz w:val="20"/>
                  </w:rPr>
                </w:pPr>
                <w:r w:rsidRPr="006B4138">
                  <w:rPr>
                    <w:b/>
                    <w:bCs/>
                    <w:sz w:val="20"/>
                  </w:rPr>
                  <w:t>E-mail</w:t>
                </w:r>
                <w:r w:rsidRPr="006B4138">
                  <w:rPr>
                    <w:bCs/>
                    <w:sz w:val="20"/>
                  </w:rPr>
                  <w:t xml:space="preserve">: </w:t>
                </w:r>
                <w:proofErr w:type="spellStart"/>
                <w:r w:rsidRPr="006B4138">
                  <w:rPr>
                    <w:bCs/>
                    <w:sz w:val="20"/>
                  </w:rPr>
                  <w:t>bobannon</w:t>
                </w:r>
                <w:proofErr w:type="spellEnd"/>
              </w:p>
              <w:p w:rsidR="0067159D" w:rsidRPr="006B4138" w:rsidRDefault="0067159D" w:rsidP="0067159D">
                <w:r w:rsidRPr="006B4138">
                  <w:rPr>
                    <w:b/>
                    <w:bCs/>
                  </w:rPr>
                  <w:t>Phone</w:t>
                </w:r>
                <w:r w:rsidRPr="006B4138">
                  <w:rPr>
                    <w:bCs/>
                  </w:rPr>
                  <w:t>: x4157</w:t>
                </w:r>
              </w:p>
              <w:p w:rsidR="0067159D" w:rsidRDefault="0067159D" w:rsidP="0067159D"/>
            </w:txbxContent>
          </v:textbox>
          <w10:wrap type="tight"/>
        </v:shape>
      </w:pict>
    </w:r>
  </w:p>
  <w:p w:rsidR="0067159D" w:rsidRDefault="0067159D">
    <w:pPr>
      <w:pStyle w:val="Header"/>
    </w:pPr>
  </w:p>
  <w:p w:rsidR="0067159D" w:rsidRDefault="0067159D">
    <w:pPr>
      <w:pStyle w:val="Header"/>
    </w:pPr>
  </w:p>
  <w:p w:rsidR="0067159D" w:rsidRDefault="006715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9467F"/>
    <w:multiLevelType w:val="hybridMultilevel"/>
    <w:tmpl w:val="87F43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583D97"/>
    <w:multiLevelType w:val="hybridMultilevel"/>
    <w:tmpl w:val="FF121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720BD"/>
    <w:rsid w:val="000E57A1"/>
    <w:rsid w:val="003445B0"/>
    <w:rsid w:val="00490D38"/>
    <w:rsid w:val="0067159D"/>
    <w:rsid w:val="00B42533"/>
    <w:rsid w:val="00C83EF7"/>
    <w:rsid w:val="00D720BD"/>
    <w:rsid w:val="00DC7244"/>
    <w:rsid w:val="00EE516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720BD"/>
    <w:rPr>
      <w:sz w:val="20"/>
      <w:szCs w:val="20"/>
    </w:rPr>
  </w:style>
  <w:style w:type="character" w:customStyle="1" w:styleId="FootnoteTextChar">
    <w:name w:val="Footnote Text Char"/>
    <w:basedOn w:val="DefaultParagraphFont"/>
    <w:link w:val="FootnoteText"/>
    <w:semiHidden/>
    <w:rsid w:val="00D720BD"/>
    <w:rPr>
      <w:rFonts w:ascii="Times New Roman" w:eastAsia="Times New Roman" w:hAnsi="Times New Roman" w:cs="Times New Roman"/>
      <w:sz w:val="20"/>
      <w:szCs w:val="20"/>
    </w:rPr>
  </w:style>
  <w:style w:type="character" w:styleId="FootnoteReference">
    <w:name w:val="footnote reference"/>
    <w:basedOn w:val="DefaultParagraphFont"/>
    <w:semiHidden/>
    <w:rsid w:val="00D720BD"/>
    <w:rPr>
      <w:vertAlign w:val="superscript"/>
    </w:rPr>
  </w:style>
  <w:style w:type="paragraph" w:styleId="Header">
    <w:name w:val="header"/>
    <w:basedOn w:val="Normal"/>
    <w:link w:val="HeaderChar"/>
    <w:uiPriority w:val="99"/>
    <w:semiHidden/>
    <w:unhideWhenUsed/>
    <w:rsid w:val="0067159D"/>
    <w:pPr>
      <w:tabs>
        <w:tab w:val="center" w:pos="4320"/>
        <w:tab w:val="right" w:pos="8640"/>
      </w:tabs>
    </w:pPr>
  </w:style>
  <w:style w:type="character" w:customStyle="1" w:styleId="HeaderChar">
    <w:name w:val="Header Char"/>
    <w:basedOn w:val="DefaultParagraphFont"/>
    <w:link w:val="Header"/>
    <w:uiPriority w:val="99"/>
    <w:semiHidden/>
    <w:rsid w:val="0067159D"/>
    <w:rPr>
      <w:rFonts w:ascii="Times New Roman" w:eastAsia="Times New Roman" w:hAnsi="Times New Roman" w:cs="Times New Roman"/>
    </w:rPr>
  </w:style>
  <w:style w:type="paragraph" w:styleId="Footer">
    <w:name w:val="footer"/>
    <w:basedOn w:val="Normal"/>
    <w:link w:val="FooterChar"/>
    <w:uiPriority w:val="99"/>
    <w:semiHidden/>
    <w:unhideWhenUsed/>
    <w:rsid w:val="0067159D"/>
    <w:pPr>
      <w:tabs>
        <w:tab w:val="center" w:pos="4320"/>
        <w:tab w:val="right" w:pos="8640"/>
      </w:tabs>
    </w:pPr>
  </w:style>
  <w:style w:type="character" w:customStyle="1" w:styleId="FooterChar">
    <w:name w:val="Footer Char"/>
    <w:basedOn w:val="DefaultParagraphFont"/>
    <w:link w:val="Footer"/>
    <w:uiPriority w:val="99"/>
    <w:semiHidden/>
    <w:rsid w:val="0067159D"/>
    <w:rPr>
      <w:rFonts w:ascii="Times New Roman" w:eastAsia="Times New Roman" w:hAnsi="Times New Roman" w:cs="Times New Roman"/>
    </w:rPr>
  </w:style>
  <w:style w:type="paragraph" w:styleId="BodyText">
    <w:name w:val="Body Text"/>
    <w:basedOn w:val="Normal"/>
    <w:link w:val="BodyTextChar"/>
    <w:rsid w:val="0067159D"/>
    <w:rPr>
      <w:rFonts w:eastAsia="Cambria"/>
      <w:szCs w:val="20"/>
    </w:rPr>
  </w:style>
  <w:style w:type="character" w:customStyle="1" w:styleId="BodyTextChar">
    <w:name w:val="Body Text Char"/>
    <w:basedOn w:val="DefaultParagraphFont"/>
    <w:link w:val="BodyText"/>
    <w:rsid w:val="0067159D"/>
    <w:rPr>
      <w:rFonts w:ascii="Times New Roman" w:eastAsia="Cambria" w:hAnsi="Times New Roman" w:cs="Times New Roman"/>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8138</Characters>
  <Application>Microsoft Office Word</Application>
  <DocSecurity>0</DocSecurity>
  <Lines>67</Lines>
  <Paragraphs>19</Paragraphs>
  <ScaleCrop>false</ScaleCrop>
  <Company>DePauw University</Company>
  <LinksUpToDate>false</LinksUpToDate>
  <CharactersWithSpaces>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 O'Bannon</dc:creator>
  <cp:keywords/>
  <cp:lastModifiedBy>DePauw</cp:lastModifiedBy>
  <cp:revision>2</cp:revision>
  <cp:lastPrinted>2010-09-29T13:05:00Z</cp:lastPrinted>
  <dcterms:created xsi:type="dcterms:W3CDTF">2010-09-29T13:05:00Z</dcterms:created>
  <dcterms:modified xsi:type="dcterms:W3CDTF">2010-09-29T13:05:00Z</dcterms:modified>
</cp:coreProperties>
</file>