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64" w:rsidRPr="00D425EE" w:rsidRDefault="00AA11E8" w:rsidP="000E4964">
      <w:pPr>
        <w:jc w:val="center"/>
        <w:rPr>
          <w:b/>
          <w:bCs/>
        </w:rPr>
      </w:pPr>
      <w:r>
        <w:t>SOC 201A</w:t>
      </w:r>
      <w:r w:rsidR="003B3A24">
        <w:t>/WS 370A</w:t>
      </w:r>
      <w:r w:rsidR="000E4964">
        <w:t>: Women and Health</w:t>
      </w:r>
      <w:r w:rsidR="003B3A24">
        <w:t xml:space="preserve"> </w:t>
      </w:r>
    </w:p>
    <w:p w:rsidR="000E4964" w:rsidRDefault="000E4964" w:rsidP="000E4964">
      <w:r>
        <w:tab/>
      </w:r>
      <w:r>
        <w:tab/>
      </w:r>
      <w:r>
        <w:tab/>
      </w:r>
      <w:r>
        <w:tab/>
      </w:r>
      <w:r>
        <w:tab/>
        <w:t xml:space="preserve">12:40-2:10 MW </w:t>
      </w:r>
    </w:p>
    <w:p w:rsidR="000E4964" w:rsidRDefault="00007CA7" w:rsidP="000E4964">
      <w:pPr>
        <w:jc w:val="center"/>
      </w:pPr>
      <w:r>
        <w:t>Fall 2011</w:t>
      </w:r>
    </w:p>
    <w:p w:rsidR="000E4964" w:rsidRDefault="000E4964" w:rsidP="000E4964">
      <w:pPr>
        <w:jc w:val="center"/>
      </w:pPr>
    </w:p>
    <w:p w:rsidR="000E4964" w:rsidRDefault="000E4964" w:rsidP="000E4964">
      <w:r>
        <w:rPr>
          <w:b/>
          <w:bCs/>
        </w:rPr>
        <w:t xml:space="preserve">Instructor: </w:t>
      </w:r>
      <w:r>
        <w:t>Alicia Suarez</w:t>
      </w:r>
    </w:p>
    <w:p w:rsidR="000E4964" w:rsidRDefault="000E4964" w:rsidP="000E4964">
      <w:r>
        <w:rPr>
          <w:b/>
          <w:bCs/>
        </w:rPr>
        <w:t xml:space="preserve">Office: </w:t>
      </w:r>
      <w:r>
        <w:t xml:space="preserve">Asbury Hall </w:t>
      </w:r>
      <w:r w:rsidR="00AA11E8">
        <w:t>305</w:t>
      </w:r>
    </w:p>
    <w:p w:rsidR="000E4964" w:rsidRPr="0033179F" w:rsidRDefault="000E4964" w:rsidP="000E4964">
      <w:pPr>
        <w:rPr>
          <w:bCs/>
        </w:rPr>
      </w:pPr>
      <w:r>
        <w:rPr>
          <w:b/>
          <w:bCs/>
        </w:rPr>
        <w:t xml:space="preserve">Office hours: </w:t>
      </w:r>
      <w:r w:rsidR="00AA11E8">
        <w:rPr>
          <w:bCs/>
        </w:rPr>
        <w:t xml:space="preserve">2:30-3:30 M W; F 1-2 </w:t>
      </w:r>
      <w:r w:rsidR="00AA11E8">
        <w:t>(or by appointment)</w:t>
      </w:r>
    </w:p>
    <w:p w:rsidR="000E4964" w:rsidRDefault="000E4964" w:rsidP="000E4964">
      <w:r>
        <w:rPr>
          <w:b/>
          <w:bCs/>
        </w:rPr>
        <w:t xml:space="preserve">Office phone: </w:t>
      </w:r>
      <w:r>
        <w:t>658-5398</w:t>
      </w:r>
    </w:p>
    <w:p w:rsidR="000E4964" w:rsidRDefault="000E4964" w:rsidP="000E4964">
      <w:pPr>
        <w:rPr>
          <w:bCs/>
        </w:rPr>
      </w:pPr>
      <w:r>
        <w:rPr>
          <w:b/>
          <w:bCs/>
        </w:rPr>
        <w:t xml:space="preserve">Email: </w:t>
      </w:r>
      <w:r>
        <w:rPr>
          <w:bCs/>
        </w:rPr>
        <w:t>asuarez@depauw.edu</w:t>
      </w:r>
    </w:p>
    <w:p w:rsidR="000E4964" w:rsidRDefault="000E4964" w:rsidP="000E4964">
      <w:pPr>
        <w:rPr>
          <w:b/>
          <w:bCs/>
        </w:rPr>
      </w:pPr>
    </w:p>
    <w:p w:rsidR="000E4964" w:rsidRDefault="000E4964" w:rsidP="000E4964">
      <w:pPr>
        <w:pStyle w:val="Heading3"/>
      </w:pPr>
      <w:r>
        <w:t xml:space="preserve">COURSE DESCRIPTION </w:t>
      </w:r>
    </w:p>
    <w:p w:rsidR="000E4964" w:rsidRPr="00985C46" w:rsidRDefault="005F0103" w:rsidP="000E4964">
      <w:r>
        <w:tab/>
        <w:t>In this course, we will focus on the intersection of health, illness, and gender</w:t>
      </w:r>
      <w:r w:rsidR="00B2385D">
        <w:t>.  This course</w:t>
      </w:r>
      <w:r w:rsidR="007D5AA6">
        <w:t xml:space="preserve"> combines classic and contemporary fe</w:t>
      </w:r>
      <w:r w:rsidR="00D90EAB">
        <w:t>minist and sociological ideologies</w:t>
      </w:r>
      <w:r w:rsidR="00B2385D">
        <w:t xml:space="preserve"> to explore how health and illness have been defined </w:t>
      </w:r>
      <w:r w:rsidR="00F4582B">
        <w:t xml:space="preserve">and experienced </w:t>
      </w:r>
      <w:r w:rsidR="00B2385D">
        <w:t>for different women across historical time and space.</w:t>
      </w:r>
      <w:r w:rsidR="007D5AA6">
        <w:t xml:space="preserve"> </w:t>
      </w:r>
      <w:r w:rsidR="00F4582B">
        <w:t xml:space="preserve">There is considerable attention to how conceptualization of women (and their bodies) as inferior has led to the medicalization of women’s bodies. </w:t>
      </w:r>
      <w:r w:rsidR="007D5AA6">
        <w:t>We will especially highlight the role of women’s health movements in shapi</w:t>
      </w:r>
      <w:r w:rsidR="00B2385D">
        <w:t>ng how women’s health is understood</w:t>
      </w:r>
      <w:r w:rsidR="00F4582B">
        <w:t xml:space="preserve">, </w:t>
      </w:r>
      <w:r w:rsidR="00B2385D">
        <w:t>embodied</w:t>
      </w:r>
      <w:r w:rsidR="00F4582B">
        <w:t xml:space="preserve"> and contested</w:t>
      </w:r>
      <w:r w:rsidR="007D5AA6">
        <w:t>.</w:t>
      </w:r>
      <w:r w:rsidR="00F4582B">
        <w:t xml:space="preserve"> </w:t>
      </w:r>
      <w:r w:rsidR="008A1005">
        <w:t xml:space="preserve">We start the course addressing theoretical frames for understanding gender and health. We then assess </w:t>
      </w:r>
      <w:r w:rsidR="00AF3329">
        <w:t xml:space="preserve">contemporary </w:t>
      </w:r>
      <w:r w:rsidR="008A1005">
        <w:t>women’</w:t>
      </w:r>
      <w:r w:rsidR="00B772AC">
        <w:t>s health status</w:t>
      </w:r>
      <w:r w:rsidR="008A1005">
        <w:t xml:space="preserve">. </w:t>
      </w:r>
      <w:r w:rsidR="00CA5D54">
        <w:t>The course</w:t>
      </w:r>
      <w:r w:rsidR="008A1005">
        <w:t xml:space="preserve"> then</w:t>
      </w:r>
      <w:r w:rsidR="00CA5D54">
        <w:t xml:space="preserve"> loosely follows a life course approach in that we explore women’s experiences with menstruation</w:t>
      </w:r>
      <w:r w:rsidR="004300B8">
        <w:t>, sexuality, reproductive technologies</w:t>
      </w:r>
      <w:r w:rsidR="00AE31F4">
        <w:t>, childbirth</w:t>
      </w:r>
      <w:r w:rsidR="00CA5D54">
        <w:t xml:space="preserve">, and menopause. </w:t>
      </w:r>
    </w:p>
    <w:p w:rsidR="000E4964" w:rsidRDefault="000E4964" w:rsidP="000E4964"/>
    <w:p w:rsidR="000E4964" w:rsidRDefault="000E4964" w:rsidP="000E4964">
      <w:pPr>
        <w:rPr>
          <w:b/>
          <w:u w:val="single"/>
        </w:rPr>
      </w:pPr>
      <w:r>
        <w:rPr>
          <w:b/>
          <w:u w:val="single"/>
        </w:rPr>
        <w:t>COURSE GOALS</w:t>
      </w:r>
    </w:p>
    <w:p w:rsidR="008A1005" w:rsidRDefault="008A1005" w:rsidP="000E4964">
      <w:pPr>
        <w:ind w:left="360"/>
      </w:pPr>
    </w:p>
    <w:p w:rsidR="00F904A6" w:rsidRDefault="00F4582B" w:rsidP="00F904A6">
      <w:pPr>
        <w:pStyle w:val="ListParagraph"/>
        <w:numPr>
          <w:ilvl w:val="0"/>
          <w:numId w:val="2"/>
        </w:numPr>
      </w:pPr>
      <w:r>
        <w:t>To appreciate the contribution of early feminists</w:t>
      </w:r>
      <w:r w:rsidR="005875AB">
        <w:t xml:space="preserve"> and sociologists</w:t>
      </w:r>
      <w:r>
        <w:t xml:space="preserve"> to our understanding of women’s health. </w:t>
      </w:r>
    </w:p>
    <w:p w:rsidR="00F904A6" w:rsidRDefault="00F904A6" w:rsidP="00F904A6">
      <w:pPr>
        <w:pStyle w:val="ListParagraph"/>
        <w:numPr>
          <w:ilvl w:val="0"/>
          <w:numId w:val="2"/>
        </w:numPr>
      </w:pPr>
      <w:r>
        <w:t>To recognize how patriarchy shapes understandings</w:t>
      </w:r>
      <w:r w:rsidR="005875AB">
        <w:t xml:space="preserve"> and experiences</w:t>
      </w:r>
      <w:r>
        <w:t xml:space="preserve"> of women and health along with structural inequalities of race and social class. </w:t>
      </w:r>
    </w:p>
    <w:p w:rsidR="00F904A6" w:rsidRDefault="00F4582B" w:rsidP="00F904A6">
      <w:pPr>
        <w:pStyle w:val="ListParagraph"/>
        <w:numPr>
          <w:ilvl w:val="0"/>
          <w:numId w:val="2"/>
        </w:numPr>
      </w:pPr>
      <w:r>
        <w:t xml:space="preserve">To understand the historical and contemporary impact of social movements on women’s health. </w:t>
      </w:r>
    </w:p>
    <w:p w:rsidR="000E4964" w:rsidRDefault="00F904A6" w:rsidP="00F904A6">
      <w:pPr>
        <w:pStyle w:val="ListParagraph"/>
        <w:numPr>
          <w:ilvl w:val="0"/>
          <w:numId w:val="2"/>
        </w:numPr>
      </w:pPr>
      <w:r>
        <w:t>To explore the power of medicalization</w:t>
      </w:r>
      <w:r w:rsidR="008F2210">
        <w:t>, and increasingly biotechnology,</w:t>
      </w:r>
      <w:r>
        <w:t xml:space="preserve"> in defining women’s bodies. </w:t>
      </w:r>
    </w:p>
    <w:p w:rsidR="000E4964" w:rsidRDefault="000E4964" w:rsidP="000E4964">
      <w:pPr>
        <w:ind w:left="360"/>
      </w:pPr>
    </w:p>
    <w:p w:rsidR="000E4964" w:rsidRDefault="000E4964" w:rsidP="000E4964">
      <w:pPr>
        <w:pStyle w:val="Heading3"/>
      </w:pPr>
      <w:r>
        <w:t>REQUIRED TEXTS</w:t>
      </w:r>
    </w:p>
    <w:p w:rsidR="000E4964" w:rsidRDefault="000E4964" w:rsidP="000E4964"/>
    <w:p w:rsidR="005F0103" w:rsidRDefault="005F0103" w:rsidP="000E4964">
      <w:r>
        <w:t xml:space="preserve">Annandale, Ellen. 2009. </w:t>
      </w:r>
      <w:r>
        <w:rPr>
          <w:i/>
        </w:rPr>
        <w:t xml:space="preserve">Women’s Health and Social Change. </w:t>
      </w:r>
      <w:r>
        <w:t xml:space="preserve">London: Routledge. </w:t>
      </w:r>
    </w:p>
    <w:p w:rsidR="00176B77" w:rsidRDefault="00176B77" w:rsidP="000E4964">
      <w:r>
        <w:t xml:space="preserve">Block, Jennifer. 2007. </w:t>
      </w:r>
      <w:r>
        <w:rPr>
          <w:i/>
        </w:rPr>
        <w:t xml:space="preserve">Pushed. </w:t>
      </w:r>
      <w:r>
        <w:t xml:space="preserve">Cambridge, Ma: DaCapo. </w:t>
      </w:r>
    </w:p>
    <w:p w:rsidR="00176B77" w:rsidRDefault="00176B77" w:rsidP="000E4964">
      <w:r>
        <w:t xml:space="preserve">Figert, Anne E. 1996. </w:t>
      </w:r>
      <w:r>
        <w:rPr>
          <w:i/>
        </w:rPr>
        <w:t xml:space="preserve">Women and the Ownership of PMS. </w:t>
      </w:r>
      <w:r>
        <w:t xml:space="preserve">New York: Walter de Gruyter. </w:t>
      </w:r>
    </w:p>
    <w:p w:rsidR="00176B77" w:rsidRPr="00176B77" w:rsidRDefault="00176B77" w:rsidP="000E4964">
      <w:r>
        <w:t xml:space="preserve">Maines, Rachel P. 1999. </w:t>
      </w:r>
      <w:r>
        <w:rPr>
          <w:i/>
        </w:rPr>
        <w:t xml:space="preserve">The Technology of Orgasm. </w:t>
      </w:r>
      <w:r>
        <w:t xml:space="preserve">Baltimore: Johns Hopkins University Press. </w:t>
      </w:r>
    </w:p>
    <w:p w:rsidR="000E4964" w:rsidRPr="00176B77" w:rsidRDefault="000E4964" w:rsidP="000E4964"/>
    <w:p w:rsidR="000E4964" w:rsidRDefault="000E4964" w:rsidP="000E4964">
      <w:r>
        <w:t>The required ar</w:t>
      </w:r>
      <w:r w:rsidR="008C2EA0">
        <w:t>ticles are available on Library Reserves</w:t>
      </w:r>
      <w:r>
        <w:t xml:space="preserve"> on Moodle.  </w:t>
      </w:r>
    </w:p>
    <w:p w:rsidR="000E4964" w:rsidRDefault="000E4964" w:rsidP="000E4964"/>
    <w:p w:rsidR="000E4964" w:rsidRDefault="000E4964" w:rsidP="000E4964">
      <w:pPr>
        <w:pStyle w:val="Heading3"/>
      </w:pPr>
      <w:r>
        <w:lastRenderedPageBreak/>
        <w:t>EVALUATION</w:t>
      </w:r>
    </w:p>
    <w:p w:rsidR="0041741B" w:rsidRDefault="00E925D8" w:rsidP="0041741B">
      <w:r>
        <w:t>There will be 3 short answer</w:t>
      </w:r>
      <w:r w:rsidR="0058575F">
        <w:t>/essay</w:t>
      </w:r>
      <w:r>
        <w:t xml:space="preserve"> </w:t>
      </w:r>
      <w:r w:rsidR="00D4482A">
        <w:t>exams in the course</w:t>
      </w:r>
      <w:r w:rsidR="0041741B">
        <w:t xml:space="preserve"> that covers course readings, videos, and issues rais</w:t>
      </w:r>
      <w:r w:rsidR="00C923C7">
        <w:t>ed in class. You will be given 5</w:t>
      </w:r>
      <w:r w:rsidR="0041741B">
        <w:t xml:space="preserve"> dates and will turn in, at the beginning of class, a reaction p</w:t>
      </w:r>
      <w:r w:rsidR="00C923C7">
        <w:t>apers on assigned readings for 4 of those 5</w:t>
      </w:r>
      <w:r w:rsidR="0041741B">
        <w:t xml:space="preserve"> dates. See handout for more information. </w:t>
      </w:r>
      <w:r w:rsidR="00342985">
        <w:t>You will also do 1</w:t>
      </w:r>
      <w:r w:rsidR="00922FFD">
        <w:t xml:space="preserve"> out of 4 possible interview research projects/papers. See handout for more information. </w:t>
      </w:r>
      <w:r w:rsidR="0041741B">
        <w:t xml:space="preserve">Late papers will </w:t>
      </w:r>
      <w:r w:rsidR="0058575F">
        <w:t>get points deducted</w:t>
      </w:r>
      <w:r w:rsidR="0041741B">
        <w:t xml:space="preserve">. Participation is also a required aspect of this course. </w:t>
      </w:r>
    </w:p>
    <w:p w:rsidR="000E4964" w:rsidRDefault="000E4964" w:rsidP="000E4964">
      <w:pPr>
        <w:pStyle w:val="Footer"/>
        <w:tabs>
          <w:tab w:val="clear" w:pos="4320"/>
          <w:tab w:val="clear" w:pos="8640"/>
        </w:tabs>
      </w:pPr>
    </w:p>
    <w:p w:rsidR="000E4964" w:rsidRDefault="000E4964" w:rsidP="000E4964">
      <w:pPr>
        <w:rPr>
          <w:b/>
          <w:bCs/>
        </w:rPr>
      </w:pPr>
      <w:r>
        <w:rPr>
          <w:b/>
          <w:bCs/>
        </w:rPr>
        <w:t>Grading:</w:t>
      </w:r>
    </w:p>
    <w:p w:rsidR="000E4964" w:rsidRDefault="000E4964" w:rsidP="000E4964"/>
    <w:tbl>
      <w:tblPr>
        <w:tblW w:w="0" w:type="auto"/>
        <w:tblInd w:w="108" w:type="dxa"/>
        <w:tblLook w:val="0000"/>
      </w:tblPr>
      <w:tblGrid>
        <w:gridCol w:w="4320"/>
        <w:gridCol w:w="2160"/>
      </w:tblGrid>
      <w:tr w:rsidR="000E4964">
        <w:tc>
          <w:tcPr>
            <w:tcW w:w="4320" w:type="dxa"/>
          </w:tcPr>
          <w:p w:rsidR="000E4964" w:rsidRDefault="000E4964" w:rsidP="00F94294">
            <w:pPr>
              <w:rPr>
                <w:b/>
              </w:rPr>
            </w:pPr>
            <w:r>
              <w:rPr>
                <w:b/>
              </w:rPr>
              <w:t>Exam 1</w:t>
            </w:r>
          </w:p>
        </w:tc>
        <w:tc>
          <w:tcPr>
            <w:tcW w:w="2160" w:type="dxa"/>
          </w:tcPr>
          <w:p w:rsidR="000E4964" w:rsidRDefault="0041741B" w:rsidP="00F94294">
            <w:pPr>
              <w:rPr>
                <w:b/>
              </w:rPr>
            </w:pPr>
            <w:r>
              <w:rPr>
                <w:b/>
              </w:rPr>
              <w:t xml:space="preserve"> </w:t>
            </w:r>
            <w:r w:rsidR="009A4715">
              <w:rPr>
                <w:b/>
              </w:rPr>
              <w:t>6</w:t>
            </w:r>
            <w:r w:rsidR="00D4482A">
              <w:rPr>
                <w:b/>
              </w:rPr>
              <w:t xml:space="preserve">0 </w:t>
            </w:r>
            <w:r w:rsidR="000E4964">
              <w:rPr>
                <w:b/>
              </w:rPr>
              <w:t>points</w:t>
            </w:r>
          </w:p>
        </w:tc>
      </w:tr>
      <w:tr w:rsidR="000E4964">
        <w:tc>
          <w:tcPr>
            <w:tcW w:w="4320" w:type="dxa"/>
          </w:tcPr>
          <w:p w:rsidR="000E4964" w:rsidRDefault="000E4964" w:rsidP="00F94294">
            <w:pPr>
              <w:rPr>
                <w:b/>
              </w:rPr>
            </w:pPr>
            <w:r>
              <w:rPr>
                <w:b/>
              </w:rPr>
              <w:t>Exam 2</w:t>
            </w:r>
          </w:p>
        </w:tc>
        <w:tc>
          <w:tcPr>
            <w:tcW w:w="2160" w:type="dxa"/>
          </w:tcPr>
          <w:p w:rsidR="000E4964" w:rsidRDefault="0041741B" w:rsidP="00F94294">
            <w:pPr>
              <w:rPr>
                <w:b/>
              </w:rPr>
            </w:pPr>
            <w:r>
              <w:rPr>
                <w:b/>
              </w:rPr>
              <w:t xml:space="preserve"> </w:t>
            </w:r>
            <w:r w:rsidR="009A4715">
              <w:rPr>
                <w:b/>
              </w:rPr>
              <w:t>6</w:t>
            </w:r>
            <w:r w:rsidR="00D4482A">
              <w:rPr>
                <w:b/>
              </w:rPr>
              <w:t xml:space="preserve">0 </w:t>
            </w:r>
            <w:r w:rsidR="000E4964">
              <w:rPr>
                <w:b/>
              </w:rPr>
              <w:t>points</w:t>
            </w:r>
          </w:p>
        </w:tc>
      </w:tr>
      <w:tr w:rsidR="000E4964">
        <w:tc>
          <w:tcPr>
            <w:tcW w:w="4320" w:type="dxa"/>
          </w:tcPr>
          <w:p w:rsidR="000E4964" w:rsidRDefault="000E4964" w:rsidP="00F94294">
            <w:pPr>
              <w:rPr>
                <w:b/>
              </w:rPr>
            </w:pPr>
            <w:r>
              <w:rPr>
                <w:b/>
              </w:rPr>
              <w:t>Exam 3</w:t>
            </w:r>
          </w:p>
        </w:tc>
        <w:tc>
          <w:tcPr>
            <w:tcW w:w="2160" w:type="dxa"/>
          </w:tcPr>
          <w:p w:rsidR="000E4964" w:rsidRDefault="0041741B" w:rsidP="00F94294">
            <w:pPr>
              <w:rPr>
                <w:b/>
              </w:rPr>
            </w:pPr>
            <w:r>
              <w:rPr>
                <w:b/>
              </w:rPr>
              <w:t xml:space="preserve"> </w:t>
            </w:r>
            <w:r w:rsidR="009A4715">
              <w:rPr>
                <w:b/>
              </w:rPr>
              <w:t>6</w:t>
            </w:r>
            <w:r w:rsidR="00D4482A">
              <w:rPr>
                <w:b/>
              </w:rPr>
              <w:t xml:space="preserve">0 </w:t>
            </w:r>
            <w:r w:rsidR="000E4964">
              <w:rPr>
                <w:b/>
              </w:rPr>
              <w:t>points</w:t>
            </w:r>
          </w:p>
        </w:tc>
      </w:tr>
      <w:tr w:rsidR="000E4964">
        <w:tc>
          <w:tcPr>
            <w:tcW w:w="4320" w:type="dxa"/>
          </w:tcPr>
          <w:p w:rsidR="000E4964" w:rsidRDefault="000E4964" w:rsidP="00B55D4F">
            <w:pPr>
              <w:rPr>
                <w:b/>
              </w:rPr>
            </w:pPr>
            <w:r>
              <w:rPr>
                <w:b/>
              </w:rPr>
              <w:t>Pa</w:t>
            </w:r>
            <w:r w:rsidR="00B55D4F">
              <w:rPr>
                <w:b/>
              </w:rPr>
              <w:t>rticipation</w:t>
            </w:r>
          </w:p>
        </w:tc>
        <w:tc>
          <w:tcPr>
            <w:tcW w:w="2160" w:type="dxa"/>
          </w:tcPr>
          <w:p w:rsidR="000E4964" w:rsidRDefault="0041741B" w:rsidP="00F94294">
            <w:pPr>
              <w:rPr>
                <w:b/>
              </w:rPr>
            </w:pPr>
            <w:r>
              <w:rPr>
                <w:b/>
              </w:rPr>
              <w:t xml:space="preserve"> </w:t>
            </w:r>
            <w:r w:rsidR="00D614F5">
              <w:rPr>
                <w:b/>
              </w:rPr>
              <w:t>5</w:t>
            </w:r>
            <w:r w:rsidR="00B772AC">
              <w:rPr>
                <w:b/>
              </w:rPr>
              <w:t xml:space="preserve">0 </w:t>
            </w:r>
            <w:r w:rsidR="000E4964">
              <w:rPr>
                <w:b/>
              </w:rPr>
              <w:t>points</w:t>
            </w:r>
          </w:p>
        </w:tc>
      </w:tr>
      <w:tr w:rsidR="000E4964">
        <w:tc>
          <w:tcPr>
            <w:tcW w:w="4320" w:type="dxa"/>
          </w:tcPr>
          <w:p w:rsidR="000E4964" w:rsidRDefault="0041741B" w:rsidP="00F94294">
            <w:pPr>
              <w:rPr>
                <w:b/>
              </w:rPr>
            </w:pPr>
            <w:r>
              <w:rPr>
                <w:b/>
              </w:rPr>
              <w:t xml:space="preserve">Reaction </w:t>
            </w:r>
            <w:r w:rsidR="000E4964">
              <w:rPr>
                <w:b/>
              </w:rPr>
              <w:t>Paper</w:t>
            </w:r>
            <w:r>
              <w:rPr>
                <w:b/>
              </w:rPr>
              <w:t>s</w:t>
            </w:r>
          </w:p>
        </w:tc>
        <w:tc>
          <w:tcPr>
            <w:tcW w:w="2160" w:type="dxa"/>
          </w:tcPr>
          <w:p w:rsidR="000E4964" w:rsidRDefault="00847660" w:rsidP="00F94294">
            <w:pPr>
              <w:rPr>
                <w:b/>
              </w:rPr>
            </w:pPr>
            <w:r>
              <w:rPr>
                <w:b/>
              </w:rPr>
              <w:t xml:space="preserve"> 6</w:t>
            </w:r>
            <w:r w:rsidR="0041741B">
              <w:rPr>
                <w:b/>
              </w:rPr>
              <w:t xml:space="preserve">0 </w:t>
            </w:r>
            <w:r w:rsidR="000E4964">
              <w:rPr>
                <w:b/>
              </w:rPr>
              <w:t>points</w:t>
            </w:r>
          </w:p>
        </w:tc>
      </w:tr>
      <w:tr w:rsidR="00F86CFC">
        <w:tc>
          <w:tcPr>
            <w:tcW w:w="4320" w:type="dxa"/>
          </w:tcPr>
          <w:p w:rsidR="00F86CFC" w:rsidRDefault="00C923C7" w:rsidP="00F94294">
            <w:pPr>
              <w:rPr>
                <w:b/>
              </w:rPr>
            </w:pPr>
            <w:r>
              <w:rPr>
                <w:b/>
              </w:rPr>
              <w:t>Interview Research and Papers</w:t>
            </w:r>
          </w:p>
        </w:tc>
        <w:tc>
          <w:tcPr>
            <w:tcW w:w="2160" w:type="dxa"/>
          </w:tcPr>
          <w:p w:rsidR="00F86CFC" w:rsidRDefault="00C923C7" w:rsidP="00F94294">
            <w:pPr>
              <w:rPr>
                <w:b/>
              </w:rPr>
            </w:pPr>
            <w:r>
              <w:rPr>
                <w:b/>
              </w:rPr>
              <w:t xml:space="preserve"> </w:t>
            </w:r>
            <w:r w:rsidR="00847660">
              <w:rPr>
                <w:b/>
              </w:rPr>
              <w:t>6</w:t>
            </w:r>
            <w:r>
              <w:rPr>
                <w:b/>
              </w:rPr>
              <w:t>0 points</w:t>
            </w:r>
          </w:p>
        </w:tc>
      </w:tr>
      <w:tr w:rsidR="000E4964">
        <w:tc>
          <w:tcPr>
            <w:tcW w:w="4320" w:type="dxa"/>
          </w:tcPr>
          <w:p w:rsidR="000E4964" w:rsidRDefault="000E4964" w:rsidP="00F94294">
            <w:pPr>
              <w:rPr>
                <w:b/>
              </w:rPr>
            </w:pPr>
            <w:r>
              <w:rPr>
                <w:b/>
              </w:rPr>
              <w:t>Total</w:t>
            </w:r>
          </w:p>
        </w:tc>
        <w:tc>
          <w:tcPr>
            <w:tcW w:w="2160" w:type="dxa"/>
          </w:tcPr>
          <w:p w:rsidR="000E4964" w:rsidRDefault="00847660" w:rsidP="00F94294">
            <w:pPr>
              <w:rPr>
                <w:b/>
              </w:rPr>
            </w:pPr>
            <w:r>
              <w:rPr>
                <w:b/>
              </w:rPr>
              <w:t>35</w:t>
            </w:r>
            <w:r w:rsidR="0041741B">
              <w:rPr>
                <w:b/>
              </w:rPr>
              <w:t xml:space="preserve">0 </w:t>
            </w:r>
            <w:r w:rsidR="000E4964">
              <w:rPr>
                <w:b/>
              </w:rPr>
              <w:t>points</w:t>
            </w:r>
          </w:p>
        </w:tc>
      </w:tr>
    </w:tbl>
    <w:p w:rsidR="000E4964" w:rsidRDefault="000E4964" w:rsidP="000E4964"/>
    <w:p w:rsidR="000E4964" w:rsidRDefault="000E4964" w:rsidP="000E4964">
      <w:r>
        <w:t>I will follow the usual DePauw University grading system whereby:</w:t>
      </w:r>
    </w:p>
    <w:p w:rsidR="000E4964" w:rsidRDefault="000E4964" w:rsidP="000E4964">
      <w:pPr>
        <w:ind w:firstLine="720"/>
      </w:pPr>
      <w:r>
        <w:t xml:space="preserve">A or A- reflects, “achievement of exceptionally high merit.”  </w:t>
      </w:r>
    </w:p>
    <w:p w:rsidR="000E4964" w:rsidRDefault="000E4964" w:rsidP="000E4964">
      <w:r>
        <w:tab/>
        <w:t>B+, B, B- reflects, “achievement at a level superior to the basic level.”</w:t>
      </w:r>
    </w:p>
    <w:p w:rsidR="000E4964" w:rsidRDefault="000E4964" w:rsidP="000E4964">
      <w:r>
        <w:tab/>
        <w:t>C+, C, C- reflects, “basic achievement.”</w:t>
      </w:r>
    </w:p>
    <w:p w:rsidR="000E4964" w:rsidRDefault="000E4964" w:rsidP="000E4964">
      <w:pPr>
        <w:ind w:left="720"/>
      </w:pPr>
      <w:r>
        <w:t>D+, D, D- reflects, “achievement which falls short of satisfying the quantitative and qualitative requirements yet warrants credit.”</w:t>
      </w:r>
    </w:p>
    <w:p w:rsidR="000E4964" w:rsidRDefault="000E4964" w:rsidP="000E4964"/>
    <w:p w:rsidR="000E4964" w:rsidRDefault="000E4964" w:rsidP="000E4964">
      <w:r>
        <w:t xml:space="preserve">Remember, you do not start the course with an A and lose points.  You essentially start with zero points and </w:t>
      </w:r>
      <w:r>
        <w:rPr>
          <w:i/>
          <w:iCs/>
        </w:rPr>
        <w:t>earn</w:t>
      </w:r>
      <w:r>
        <w:t xml:space="preserve"> your grades along the way. Please meet with me if at any time you have questions about your grades.</w:t>
      </w:r>
      <w:r>
        <w:rPr>
          <w:b/>
        </w:rPr>
        <w:t xml:space="preserve"> Do not wait until the end of the semester</w:t>
      </w:r>
      <w:r>
        <w:t>.</w:t>
      </w:r>
    </w:p>
    <w:p w:rsidR="000E4964" w:rsidRDefault="000E4964" w:rsidP="000E4964"/>
    <w:p w:rsidR="000E4964" w:rsidRDefault="000E4964" w:rsidP="000E4964">
      <w:pPr>
        <w:pStyle w:val="Heading3"/>
      </w:pPr>
      <w:r>
        <w:t>OTHER POLICIES</w:t>
      </w:r>
    </w:p>
    <w:p w:rsidR="000E4964" w:rsidRDefault="000E4964" w:rsidP="000E4964"/>
    <w:p w:rsidR="00F0240C" w:rsidRDefault="000E4964" w:rsidP="00F0240C">
      <w:pPr>
        <w:rPr>
          <w:bCs/>
        </w:rPr>
      </w:pPr>
      <w:r>
        <w:rPr>
          <w:b/>
          <w:bCs/>
        </w:rPr>
        <w:t xml:space="preserve">Attendance and Participation: </w:t>
      </w:r>
      <w:r w:rsidR="00F0240C">
        <w:t xml:space="preserve">I expect you to attend class prepared on time and ready to </w:t>
      </w:r>
      <w:r w:rsidR="00F0240C">
        <w:rPr>
          <w:i/>
          <w:iCs/>
        </w:rPr>
        <w:t>engage</w:t>
      </w:r>
      <w:r w:rsidR="00F0240C">
        <w:t xml:space="preserve"> with the material and the class community.  Simply showing up to class having skimmed the readings is insufficient. If everyone does this, we will have a boring class (and you will have to listen to me the whole time).    If only a few people are prepared, we will only know their opinions and miss out on the full classroom experience of everyone participating.  </w:t>
      </w:r>
      <w:r w:rsidR="00F0240C">
        <w:rPr>
          <w:bCs/>
        </w:rPr>
        <w:t xml:space="preserve">Another reason for you to come to class is that you will be tested on material that is presented </w:t>
      </w:r>
      <w:r w:rsidR="00F0240C" w:rsidRPr="00195408">
        <w:rPr>
          <w:bCs/>
          <w:u w:val="single"/>
        </w:rPr>
        <w:t>only</w:t>
      </w:r>
      <w:r w:rsidR="00F0240C">
        <w:rPr>
          <w:bCs/>
        </w:rPr>
        <w:t xml:space="preserve"> in class lecture/ discussion.  If you want to be familiar with this material, you must be in class. Thus, if you want to do well in this class, you will very quickly learn that daily attendance and participation is essential.    </w:t>
      </w:r>
    </w:p>
    <w:p w:rsidR="00F0240C" w:rsidRDefault="00F0240C" w:rsidP="00F0240C">
      <w:pPr>
        <w:rPr>
          <w:bCs/>
        </w:rPr>
      </w:pPr>
    </w:p>
    <w:p w:rsidR="0058575F" w:rsidRDefault="00F0240C" w:rsidP="000E4964">
      <w:r>
        <w:t xml:space="preserve">In addition, we must be watchful to not take up too much “airtime” and allow for </w:t>
      </w:r>
      <w:r>
        <w:rPr>
          <w:i/>
          <w:iCs/>
        </w:rPr>
        <w:t xml:space="preserve">everyone </w:t>
      </w:r>
      <w:r>
        <w:t xml:space="preserve">to share.  Talking </w:t>
      </w:r>
      <w:r>
        <w:rPr>
          <w:i/>
        </w:rPr>
        <w:t xml:space="preserve">a lot </w:t>
      </w:r>
      <w:r>
        <w:t xml:space="preserve">is generally </w:t>
      </w:r>
      <w:r>
        <w:rPr>
          <w:i/>
        </w:rPr>
        <w:t xml:space="preserve">not </w:t>
      </w:r>
      <w:r>
        <w:t>a good way of actively participating. Instead, carefully listening to others and clearly and concisely expressing your input is the best strategy.  Remember to address each other when talking rather than directing your comments to me (unless they are solely intended for me!) Of course, no texting or surfing the web is allowed during class. If you consistently are looking at websites, checking email, etc. I will ask you to n</w:t>
      </w:r>
      <w:r w:rsidR="004C523B">
        <w:t xml:space="preserve">ot bring your laptop to class. </w:t>
      </w:r>
    </w:p>
    <w:p w:rsidR="00565941" w:rsidRDefault="00565941" w:rsidP="000E4964">
      <w:pPr>
        <w:rPr>
          <w:b/>
          <w:bCs/>
        </w:rPr>
      </w:pPr>
    </w:p>
    <w:p w:rsidR="000E4964" w:rsidRDefault="000E4964" w:rsidP="000E4964">
      <w:pPr>
        <w:rPr>
          <w:b/>
          <w:bCs/>
        </w:rPr>
      </w:pPr>
      <w:r>
        <w:rPr>
          <w:b/>
          <w:bCs/>
        </w:rPr>
        <w:t xml:space="preserve">Classroom Etiquette: </w:t>
      </w:r>
      <w:r>
        <w:t xml:space="preserve">In order to have a positive and safe learning environment, we as a class will have to agree to disagree at times.  Some of us may have strong feelings and/or reactions to class materials, readings, etc. Expressing these reactions is encouraged as long as this is done in a respectful manner.  Hostile and/or disrespectful behavior is not allowed. In addition, we must be watchful to not take up too much “airtime” and allow for </w:t>
      </w:r>
      <w:r>
        <w:rPr>
          <w:i/>
          <w:iCs/>
        </w:rPr>
        <w:t xml:space="preserve">everyone </w:t>
      </w:r>
      <w:r>
        <w:t xml:space="preserve">to share.  Talking </w:t>
      </w:r>
      <w:r>
        <w:rPr>
          <w:i/>
        </w:rPr>
        <w:t xml:space="preserve">a lot </w:t>
      </w:r>
      <w:r>
        <w:t xml:space="preserve">is generally </w:t>
      </w:r>
      <w:r>
        <w:rPr>
          <w:i/>
        </w:rPr>
        <w:t xml:space="preserve">not </w:t>
      </w:r>
      <w:r>
        <w:t xml:space="preserve">a good way of actively participating. Instead, carefully listening to others and clearly and concisely expressing your input is the best strategy.  Remember to address each other when talking rather than directing your comments to me (unless they are solely intended for me!) </w:t>
      </w:r>
    </w:p>
    <w:p w:rsidR="000E4964" w:rsidRDefault="000E4964" w:rsidP="000E4964"/>
    <w:p w:rsidR="000E4964" w:rsidRDefault="000E4964" w:rsidP="000E4964">
      <w:r>
        <w:rPr>
          <w:b/>
          <w:bCs/>
        </w:rPr>
        <w:t xml:space="preserve">Communication: </w:t>
      </w:r>
      <w:r>
        <w:t xml:space="preserve">Please come and visit me during office hours. I am there waiting for you to discuss readings, lecture, grading, exams, classroom behaviors, sociology, etc.  If you cannot come to scheduled office hours, please let me know and we will work something else out.  The best way to reach me is through e-mail. I will communicate with the class through email. I expect each of you to check your email on a </w:t>
      </w:r>
      <w:r>
        <w:rPr>
          <w:i/>
          <w:iCs/>
        </w:rPr>
        <w:t>daily</w:t>
      </w:r>
      <w:r>
        <w:t xml:space="preserve"> basis.  </w:t>
      </w:r>
    </w:p>
    <w:p w:rsidR="000E4964" w:rsidRDefault="000E4964" w:rsidP="000E4964"/>
    <w:p w:rsidR="000E4964" w:rsidRDefault="000E4964" w:rsidP="000E4964">
      <w:r>
        <w:rPr>
          <w:b/>
        </w:rPr>
        <w:t xml:space="preserve">Late work/Make-up Work: </w:t>
      </w:r>
      <w:r>
        <w:t xml:space="preserve">All papers are due at the beginning of class and all exams will be taken in class on the schedule day, unless, I receive </w:t>
      </w:r>
      <w:r>
        <w:rPr>
          <w:i/>
        </w:rPr>
        <w:t>in advance</w:t>
      </w:r>
      <w:r>
        <w:t xml:space="preserve">, an official notification that you will be off-campus on official university business or some other </w:t>
      </w:r>
      <w:r>
        <w:rPr>
          <w:i/>
        </w:rPr>
        <w:t xml:space="preserve">legitimate and verifiable </w:t>
      </w:r>
      <w:r>
        <w:t xml:space="preserve">excused absence. There will be NO EXTRA CREDIT assignments available to anyone. </w:t>
      </w:r>
    </w:p>
    <w:p w:rsidR="000E4964" w:rsidRDefault="000E4964" w:rsidP="000E4964"/>
    <w:p w:rsidR="000E4964" w:rsidRDefault="000E4964" w:rsidP="000E4964">
      <w:r>
        <w:rPr>
          <w:b/>
          <w:bCs/>
        </w:rPr>
        <w:t xml:space="preserve">Academic Dishonesty/Misconduct: </w:t>
      </w:r>
      <w:r>
        <w:t xml:space="preserve">I take academic dishonesty or misconduct extremely seriously as surely you do as well.  Please be familiar with the DePauw University Academic Integrity Policy available in the </w:t>
      </w:r>
      <w:r>
        <w:rPr>
          <w:i/>
          <w:iCs/>
        </w:rPr>
        <w:t xml:space="preserve">Student Handbook. </w:t>
      </w:r>
      <w:r>
        <w:t xml:space="preserve">Any student violating this policy will be subject to a range of disciplinary actions. </w:t>
      </w:r>
    </w:p>
    <w:p w:rsidR="000E4964" w:rsidRDefault="000E4964" w:rsidP="000E4964"/>
    <w:p w:rsidR="000E4964" w:rsidRDefault="000E4964" w:rsidP="000E4964">
      <w:r>
        <w:rPr>
          <w:b/>
          <w:bCs/>
        </w:rPr>
        <w:t xml:space="preserve">Students with Disabilities: </w:t>
      </w:r>
      <w:r>
        <w:t xml:space="preserve">DePauw University offers accommodations to students with disabilities. It is your responsibility to contact the Americans with Disabilities Act (ADA) coordinator: </w:t>
      </w:r>
      <w:r w:rsidR="00F45CF8">
        <w:t xml:space="preserve">Pamela Roberts, 302 Harrison Hall </w:t>
      </w:r>
      <w:r>
        <w:t xml:space="preserve">to request accommodations. </w:t>
      </w:r>
    </w:p>
    <w:p w:rsidR="00190089" w:rsidRDefault="00190089" w:rsidP="00190089"/>
    <w:p w:rsidR="00190089" w:rsidRDefault="00190089" w:rsidP="00190089">
      <w:pPr>
        <w:pStyle w:val="Heading3"/>
      </w:pPr>
      <w:r>
        <w:t>SCHEDULE</w:t>
      </w:r>
    </w:p>
    <w:p w:rsidR="00190089" w:rsidRDefault="00190089" w:rsidP="00190089"/>
    <w:p w:rsidR="00190089" w:rsidRDefault="00190089" w:rsidP="00190089">
      <w:r>
        <w:t xml:space="preserve">Readings must be completed </w:t>
      </w:r>
      <w:r>
        <w:rPr>
          <w:i/>
          <w:iCs/>
        </w:rPr>
        <w:t xml:space="preserve">prior </w:t>
      </w:r>
      <w:r>
        <w:t xml:space="preserve">to class on the due date. We may get off schedule and I will make adjustments accordingly in the event that this occurs. </w:t>
      </w:r>
    </w:p>
    <w:p w:rsidR="00F37D2E" w:rsidRDefault="00F37D2E"/>
    <w:tbl>
      <w:tblPr>
        <w:tblStyle w:val="TableGrid"/>
        <w:tblW w:w="0" w:type="auto"/>
        <w:tblLook w:val="00BF"/>
      </w:tblPr>
      <w:tblGrid>
        <w:gridCol w:w="1278"/>
        <w:gridCol w:w="7578"/>
      </w:tblGrid>
      <w:tr w:rsidR="005C7706">
        <w:tc>
          <w:tcPr>
            <w:tcW w:w="1278" w:type="dxa"/>
          </w:tcPr>
          <w:p w:rsidR="005C7706" w:rsidRDefault="00EC1538">
            <w:r>
              <w:t>8/24 (W</w:t>
            </w:r>
            <w:r w:rsidR="00190089">
              <w:t>)</w:t>
            </w:r>
          </w:p>
        </w:tc>
        <w:tc>
          <w:tcPr>
            <w:tcW w:w="7578" w:type="dxa"/>
          </w:tcPr>
          <w:p w:rsidR="000036EB" w:rsidRDefault="00C300CB">
            <w:r>
              <w:t>Introduction to Class</w:t>
            </w:r>
          </w:p>
          <w:p w:rsidR="005C7706" w:rsidRDefault="005C7706"/>
        </w:tc>
      </w:tr>
      <w:tr w:rsidR="00C300CB">
        <w:tc>
          <w:tcPr>
            <w:tcW w:w="8856" w:type="dxa"/>
            <w:gridSpan w:val="2"/>
          </w:tcPr>
          <w:p w:rsidR="00C300CB" w:rsidRPr="000F4497" w:rsidRDefault="00C300CB">
            <w:pPr>
              <w:rPr>
                <w:b/>
              </w:rPr>
            </w:pPr>
          </w:p>
          <w:p w:rsidR="00C300CB" w:rsidRPr="000F4497" w:rsidRDefault="00C300CB" w:rsidP="00C300CB">
            <w:pPr>
              <w:jc w:val="center"/>
              <w:rPr>
                <w:b/>
              </w:rPr>
            </w:pPr>
            <w:r w:rsidRPr="000F4497">
              <w:rPr>
                <w:b/>
              </w:rPr>
              <w:t>Theorizing about Women and Health</w:t>
            </w:r>
          </w:p>
          <w:p w:rsidR="00C300CB" w:rsidRDefault="00C300CB"/>
        </w:tc>
      </w:tr>
      <w:tr w:rsidR="005C7706">
        <w:tc>
          <w:tcPr>
            <w:tcW w:w="1278" w:type="dxa"/>
          </w:tcPr>
          <w:p w:rsidR="005C7706" w:rsidRDefault="00EC1538">
            <w:r>
              <w:t>8/29 (M</w:t>
            </w:r>
            <w:r w:rsidR="00190089">
              <w:t>)</w:t>
            </w:r>
          </w:p>
        </w:tc>
        <w:tc>
          <w:tcPr>
            <w:tcW w:w="7578" w:type="dxa"/>
          </w:tcPr>
          <w:p w:rsidR="008A58E5" w:rsidRPr="000036EB" w:rsidRDefault="00C300CB">
            <w:r w:rsidRPr="000036EB">
              <w:t xml:space="preserve">Annandale Intro- Ch. </w:t>
            </w:r>
            <w:r w:rsidR="00E075C2" w:rsidRPr="000036EB">
              <w:t>1</w:t>
            </w:r>
          </w:p>
          <w:p w:rsidR="00205FF8" w:rsidRDefault="002A05DC">
            <w:r w:rsidRPr="000036EB">
              <w:t>Gilman, Charlotte Perkins. “The Yellow Wallpaper.”</w:t>
            </w:r>
            <w:r w:rsidR="00C321C3" w:rsidRPr="000036EB">
              <w:t xml:space="preserve"> (</w:t>
            </w:r>
            <w:r w:rsidR="00C321C3" w:rsidRPr="003073BE">
              <w:rPr>
                <w:b/>
              </w:rPr>
              <w:t xml:space="preserve">DePauw </w:t>
            </w:r>
            <w:r w:rsidR="000036EB" w:rsidRPr="003073BE">
              <w:rPr>
                <w:b/>
              </w:rPr>
              <w:t>Web Access E-Book</w:t>
            </w:r>
            <w:r w:rsidR="000036EB" w:rsidRPr="000036EB">
              <w:t>)</w:t>
            </w:r>
          </w:p>
          <w:p w:rsidR="005C7706" w:rsidRPr="000036EB" w:rsidRDefault="00205FF8">
            <w:r w:rsidRPr="000036EB">
              <w:t xml:space="preserve">Wells, Susan. 2008. “Our Bodies, Ourselves: Reading the Written Body.” </w:t>
            </w:r>
            <w:r w:rsidRPr="000036EB">
              <w:rPr>
                <w:i/>
              </w:rPr>
              <w:t xml:space="preserve">Signs </w:t>
            </w:r>
            <w:r w:rsidRPr="000036EB">
              <w:t xml:space="preserve">33:697-723. </w:t>
            </w:r>
          </w:p>
        </w:tc>
      </w:tr>
      <w:tr w:rsidR="005C7706">
        <w:tc>
          <w:tcPr>
            <w:tcW w:w="1278" w:type="dxa"/>
          </w:tcPr>
          <w:p w:rsidR="005C7706" w:rsidRDefault="00EC1538">
            <w:r>
              <w:t>8/31 (W</w:t>
            </w:r>
            <w:r w:rsidR="00190089">
              <w:t>)</w:t>
            </w:r>
          </w:p>
        </w:tc>
        <w:tc>
          <w:tcPr>
            <w:tcW w:w="7578" w:type="dxa"/>
          </w:tcPr>
          <w:p w:rsidR="000036EB" w:rsidRDefault="00C300CB" w:rsidP="00640B40">
            <w:r w:rsidRPr="000036EB">
              <w:t xml:space="preserve">Annandale Ch. </w:t>
            </w:r>
            <w:r w:rsidR="000F4497" w:rsidRPr="000036EB">
              <w:t>2</w:t>
            </w:r>
            <w:r w:rsidR="00205FF8">
              <w:t>; Ch. 5</w:t>
            </w:r>
          </w:p>
          <w:p w:rsidR="005C7706" w:rsidRPr="000036EB" w:rsidRDefault="00205FF8" w:rsidP="00640B40">
            <w:r w:rsidRPr="000036EB">
              <w:t xml:space="preserve">Conrad, Peter. 2005. “The Shifting Engines of Medicalization.” </w:t>
            </w:r>
            <w:r w:rsidRPr="000036EB">
              <w:rPr>
                <w:i/>
              </w:rPr>
              <w:t xml:space="preserve">Journal of Health and Social Behavior </w:t>
            </w:r>
            <w:r w:rsidRPr="000036EB">
              <w:t xml:space="preserve">46:3-14. </w:t>
            </w:r>
          </w:p>
        </w:tc>
      </w:tr>
      <w:tr w:rsidR="00AB24DB">
        <w:tc>
          <w:tcPr>
            <w:tcW w:w="8856" w:type="dxa"/>
            <w:gridSpan w:val="2"/>
          </w:tcPr>
          <w:p w:rsidR="00AB24DB" w:rsidRDefault="00AB24DB" w:rsidP="00AB24DB">
            <w:pPr>
              <w:jc w:val="center"/>
              <w:rPr>
                <w:b/>
              </w:rPr>
            </w:pPr>
          </w:p>
          <w:p w:rsidR="00AB24DB" w:rsidRPr="00751F90" w:rsidRDefault="00AB24DB" w:rsidP="00AB24DB">
            <w:pPr>
              <w:jc w:val="center"/>
              <w:rPr>
                <w:b/>
              </w:rPr>
            </w:pPr>
            <w:r w:rsidRPr="00751F90">
              <w:rPr>
                <w:b/>
              </w:rPr>
              <w:t>Women and Health Status</w:t>
            </w:r>
          </w:p>
          <w:p w:rsidR="00AB24DB" w:rsidRPr="00640B40" w:rsidRDefault="00AB24DB"/>
        </w:tc>
      </w:tr>
      <w:tr w:rsidR="005C7706">
        <w:tc>
          <w:tcPr>
            <w:tcW w:w="1278" w:type="dxa"/>
          </w:tcPr>
          <w:p w:rsidR="005C7706" w:rsidRDefault="0078791C">
            <w:r>
              <w:t>9/5 (M</w:t>
            </w:r>
            <w:r w:rsidR="00190089">
              <w:t>)</w:t>
            </w:r>
          </w:p>
        </w:tc>
        <w:tc>
          <w:tcPr>
            <w:tcW w:w="7578" w:type="dxa"/>
          </w:tcPr>
          <w:p w:rsidR="00AB24DB" w:rsidRPr="008907D6" w:rsidRDefault="00AB24DB" w:rsidP="00AB24DB">
            <w:r w:rsidRPr="008907D6">
              <w:t xml:space="preserve">Gorman, Bridget K. and Jen'nan Ghazal Read. 2006. “Gender Disparities in Adult Health: An Examination of Three Measures of Morbidity.” </w:t>
            </w:r>
            <w:r w:rsidRPr="008907D6">
              <w:rPr>
                <w:i/>
              </w:rPr>
              <w:t xml:space="preserve">Journal of Health and Social Behavior </w:t>
            </w:r>
            <w:r w:rsidRPr="008907D6">
              <w:t xml:space="preserve">47:95-110. </w:t>
            </w:r>
          </w:p>
          <w:p w:rsidR="005C7706" w:rsidRPr="00640B40" w:rsidRDefault="00AB24DB" w:rsidP="00AB24DB">
            <w:r>
              <w:t>Annandale Ch. 3</w:t>
            </w:r>
          </w:p>
        </w:tc>
      </w:tr>
      <w:tr w:rsidR="005C7706">
        <w:tc>
          <w:tcPr>
            <w:tcW w:w="1278" w:type="dxa"/>
          </w:tcPr>
          <w:p w:rsidR="005C7706" w:rsidRDefault="0078791C">
            <w:r>
              <w:t>9/7 (W</w:t>
            </w:r>
            <w:r w:rsidR="00190089">
              <w:t>)</w:t>
            </w:r>
          </w:p>
        </w:tc>
        <w:tc>
          <w:tcPr>
            <w:tcW w:w="7578" w:type="dxa"/>
          </w:tcPr>
          <w:p w:rsidR="00AB24DB" w:rsidRPr="008907D6" w:rsidRDefault="00AB24DB" w:rsidP="00AB24DB">
            <w:r w:rsidRPr="008907D6">
              <w:t xml:space="preserve">Klawiter, Maren. 2004. “Breast Cancer in Two Regimes: The Impact of Social Movements on Illness Experience.” </w:t>
            </w:r>
            <w:r w:rsidRPr="008907D6">
              <w:rPr>
                <w:i/>
              </w:rPr>
              <w:t>Sociology of Health and Illness</w:t>
            </w:r>
            <w:r w:rsidRPr="008907D6">
              <w:t xml:space="preserve"> 26:845-874. </w:t>
            </w:r>
          </w:p>
          <w:p w:rsidR="005C7706" w:rsidRDefault="00AB24DB" w:rsidP="00AB24DB">
            <w:r>
              <w:t>Annandale Ch. 7</w:t>
            </w:r>
          </w:p>
        </w:tc>
      </w:tr>
      <w:tr w:rsidR="004A7C99">
        <w:tc>
          <w:tcPr>
            <w:tcW w:w="8856" w:type="dxa"/>
            <w:gridSpan w:val="2"/>
          </w:tcPr>
          <w:p w:rsidR="004A7C99" w:rsidRDefault="004A7C99" w:rsidP="004A7C99">
            <w:pPr>
              <w:jc w:val="center"/>
              <w:rPr>
                <w:b/>
              </w:rPr>
            </w:pPr>
          </w:p>
          <w:p w:rsidR="004A7C99" w:rsidRDefault="004A7C99" w:rsidP="004A7C99">
            <w:pPr>
              <w:jc w:val="center"/>
              <w:rPr>
                <w:b/>
              </w:rPr>
            </w:pPr>
            <w:r>
              <w:rPr>
                <w:b/>
              </w:rPr>
              <w:t>Menstruation</w:t>
            </w:r>
          </w:p>
          <w:p w:rsidR="004A7C99" w:rsidRDefault="004A7C99" w:rsidP="004A7C99">
            <w:pPr>
              <w:jc w:val="center"/>
            </w:pPr>
          </w:p>
        </w:tc>
      </w:tr>
      <w:tr w:rsidR="005C7706">
        <w:tc>
          <w:tcPr>
            <w:tcW w:w="1278" w:type="dxa"/>
          </w:tcPr>
          <w:p w:rsidR="005C7706" w:rsidRDefault="0078791C">
            <w:r>
              <w:t>9/12 (M</w:t>
            </w:r>
            <w:r w:rsidR="00190089">
              <w:t>)</w:t>
            </w:r>
          </w:p>
        </w:tc>
        <w:tc>
          <w:tcPr>
            <w:tcW w:w="7578" w:type="dxa"/>
          </w:tcPr>
          <w:p w:rsidR="004A7C99" w:rsidRPr="00D3694C" w:rsidRDefault="004A7C99" w:rsidP="004A7C99">
            <w:r w:rsidRPr="00D3694C">
              <w:t xml:space="preserve">Fingerson, Laura. 2005. “Agency and the Body in Adolescent Menstrual Talk.” </w:t>
            </w:r>
            <w:r w:rsidRPr="00D3694C">
              <w:rPr>
                <w:i/>
              </w:rPr>
              <w:t>Childhood</w:t>
            </w:r>
            <w:r w:rsidRPr="00D3694C">
              <w:t xml:space="preserve"> 12:91-110. </w:t>
            </w:r>
          </w:p>
          <w:p w:rsidR="005C7706" w:rsidRDefault="004A7C99" w:rsidP="004A7C99">
            <w:r w:rsidRPr="000F1720">
              <w:t>Figert Ch. 1-3</w:t>
            </w:r>
          </w:p>
        </w:tc>
      </w:tr>
      <w:tr w:rsidR="005C7706">
        <w:tc>
          <w:tcPr>
            <w:tcW w:w="1278" w:type="dxa"/>
          </w:tcPr>
          <w:p w:rsidR="005C7706" w:rsidRPr="00ED482A" w:rsidRDefault="0078791C">
            <w:pPr>
              <w:rPr>
                <w:highlight w:val="yellow"/>
              </w:rPr>
            </w:pPr>
            <w:r>
              <w:t>9/14 (W</w:t>
            </w:r>
            <w:r w:rsidR="00190089" w:rsidRPr="00ED482A">
              <w:t>)</w:t>
            </w:r>
          </w:p>
        </w:tc>
        <w:tc>
          <w:tcPr>
            <w:tcW w:w="7578" w:type="dxa"/>
          </w:tcPr>
          <w:p w:rsidR="005C7706" w:rsidRPr="00ED482A" w:rsidRDefault="004A7C99" w:rsidP="00487752">
            <w:pPr>
              <w:rPr>
                <w:highlight w:val="yellow"/>
              </w:rPr>
            </w:pPr>
            <w:r>
              <w:t>Figert Ch. 4-5</w:t>
            </w:r>
          </w:p>
        </w:tc>
      </w:tr>
      <w:tr w:rsidR="005C7706">
        <w:tc>
          <w:tcPr>
            <w:tcW w:w="1278" w:type="dxa"/>
          </w:tcPr>
          <w:p w:rsidR="005C7706" w:rsidRDefault="0078791C">
            <w:r>
              <w:t>9/19 (M</w:t>
            </w:r>
            <w:r w:rsidR="00190089">
              <w:t>)</w:t>
            </w:r>
          </w:p>
        </w:tc>
        <w:tc>
          <w:tcPr>
            <w:tcW w:w="7578" w:type="dxa"/>
          </w:tcPr>
          <w:p w:rsidR="004A7C99" w:rsidRPr="008907D6" w:rsidRDefault="004A7C99" w:rsidP="004A7C99">
            <w:r w:rsidRPr="008907D6">
              <w:t xml:space="preserve">McCabe, Janice. 2005. “Who Are the Experts? Medicalization in Teen Magazine Advice Columns.” </w:t>
            </w:r>
            <w:r w:rsidRPr="008907D6">
              <w:rPr>
                <w:i/>
              </w:rPr>
              <w:t>Sociological Studies of Children and Youth</w:t>
            </w:r>
            <w:r w:rsidRPr="008907D6">
              <w:t xml:space="preserve"> 11:153-191. </w:t>
            </w:r>
          </w:p>
          <w:p w:rsidR="005C7706" w:rsidRDefault="004A7C99" w:rsidP="004A7C99">
            <w:r>
              <w:t>Figert Ch. 6-7</w:t>
            </w:r>
          </w:p>
        </w:tc>
      </w:tr>
      <w:tr w:rsidR="005C7706">
        <w:tc>
          <w:tcPr>
            <w:tcW w:w="1278" w:type="dxa"/>
          </w:tcPr>
          <w:p w:rsidR="005C7706" w:rsidRDefault="0078791C">
            <w:r>
              <w:t>9/21 (W</w:t>
            </w:r>
            <w:r w:rsidR="00190089">
              <w:t>)</w:t>
            </w:r>
          </w:p>
        </w:tc>
        <w:tc>
          <w:tcPr>
            <w:tcW w:w="7578" w:type="dxa"/>
          </w:tcPr>
          <w:p w:rsidR="005C7706" w:rsidRPr="009B0D25" w:rsidRDefault="004A7C99">
            <w:r>
              <w:t>Figert Ch. 8-9</w:t>
            </w:r>
          </w:p>
        </w:tc>
      </w:tr>
      <w:tr w:rsidR="005C7706">
        <w:tc>
          <w:tcPr>
            <w:tcW w:w="1278" w:type="dxa"/>
          </w:tcPr>
          <w:p w:rsidR="005C7706" w:rsidRDefault="0078791C">
            <w:r>
              <w:t>9/26 (M</w:t>
            </w:r>
            <w:r w:rsidR="00190089">
              <w:t>)</w:t>
            </w:r>
          </w:p>
        </w:tc>
        <w:tc>
          <w:tcPr>
            <w:tcW w:w="7578" w:type="dxa"/>
          </w:tcPr>
          <w:p w:rsidR="009B0D25" w:rsidRDefault="00C032E9" w:rsidP="00B32116">
            <w:pPr>
              <w:rPr>
                <w:b/>
                <w:i/>
              </w:rPr>
            </w:pPr>
            <w:r>
              <w:rPr>
                <w:b/>
              </w:rPr>
              <w:t>Film</w:t>
            </w:r>
            <w:r w:rsidR="004A7C99">
              <w:rPr>
                <w:b/>
              </w:rPr>
              <w:t xml:space="preserve">: </w:t>
            </w:r>
            <w:r w:rsidR="004A7C99">
              <w:rPr>
                <w:b/>
                <w:i/>
              </w:rPr>
              <w:t>Red Moon</w:t>
            </w:r>
          </w:p>
          <w:p w:rsidR="005C7706" w:rsidRPr="004A7C99" w:rsidRDefault="009B0D25" w:rsidP="00B32116">
            <w:pPr>
              <w:rPr>
                <w:b/>
                <w:i/>
              </w:rPr>
            </w:pPr>
            <w:r>
              <w:rPr>
                <w:b/>
              </w:rPr>
              <w:t>Menstruation paper due</w:t>
            </w:r>
          </w:p>
        </w:tc>
      </w:tr>
      <w:tr w:rsidR="005C7706">
        <w:tc>
          <w:tcPr>
            <w:tcW w:w="1278" w:type="dxa"/>
          </w:tcPr>
          <w:p w:rsidR="005C7706" w:rsidRDefault="0078791C">
            <w:r>
              <w:t>9/28 (W</w:t>
            </w:r>
            <w:r w:rsidR="00190089">
              <w:t>)</w:t>
            </w:r>
          </w:p>
        </w:tc>
        <w:tc>
          <w:tcPr>
            <w:tcW w:w="7578" w:type="dxa"/>
          </w:tcPr>
          <w:p w:rsidR="005C7706" w:rsidRPr="00D94291" w:rsidRDefault="00D94291">
            <w:pPr>
              <w:rPr>
                <w:b/>
              </w:rPr>
            </w:pPr>
            <w:r w:rsidRPr="00D94291">
              <w:rPr>
                <w:b/>
              </w:rPr>
              <w:t>Exam 1</w:t>
            </w:r>
          </w:p>
        </w:tc>
      </w:tr>
      <w:tr w:rsidR="00D94291">
        <w:tc>
          <w:tcPr>
            <w:tcW w:w="8856" w:type="dxa"/>
            <w:gridSpan w:val="2"/>
          </w:tcPr>
          <w:p w:rsidR="00D94291" w:rsidRDefault="00D94291" w:rsidP="00D94291">
            <w:pPr>
              <w:jc w:val="center"/>
            </w:pPr>
          </w:p>
          <w:p w:rsidR="00D94291" w:rsidRPr="00DB26AD" w:rsidRDefault="00D94291" w:rsidP="00D94291">
            <w:pPr>
              <w:jc w:val="center"/>
              <w:rPr>
                <w:b/>
              </w:rPr>
            </w:pPr>
            <w:r w:rsidRPr="00DB26AD">
              <w:rPr>
                <w:b/>
              </w:rPr>
              <w:t>Sexuality</w:t>
            </w:r>
          </w:p>
          <w:p w:rsidR="00D94291" w:rsidRDefault="00D94291" w:rsidP="00D94291">
            <w:pPr>
              <w:jc w:val="center"/>
            </w:pPr>
          </w:p>
        </w:tc>
      </w:tr>
      <w:tr w:rsidR="005C7706">
        <w:tc>
          <w:tcPr>
            <w:tcW w:w="1278" w:type="dxa"/>
          </w:tcPr>
          <w:p w:rsidR="005C7706" w:rsidRDefault="0078791C">
            <w:r>
              <w:t>10/3 (M)</w:t>
            </w:r>
          </w:p>
        </w:tc>
        <w:tc>
          <w:tcPr>
            <w:tcW w:w="7578" w:type="dxa"/>
          </w:tcPr>
          <w:p w:rsidR="005C7706" w:rsidRDefault="00DB26AD" w:rsidP="00951240">
            <w:r>
              <w:t>Maines ch. 1-2</w:t>
            </w:r>
          </w:p>
        </w:tc>
      </w:tr>
      <w:tr w:rsidR="005C7706">
        <w:tc>
          <w:tcPr>
            <w:tcW w:w="1278" w:type="dxa"/>
          </w:tcPr>
          <w:p w:rsidR="005C7706" w:rsidRDefault="0078791C">
            <w:r>
              <w:t>10/5 (W</w:t>
            </w:r>
            <w:r w:rsidR="008C243E">
              <w:t>)</w:t>
            </w:r>
          </w:p>
        </w:tc>
        <w:tc>
          <w:tcPr>
            <w:tcW w:w="7578" w:type="dxa"/>
          </w:tcPr>
          <w:p w:rsidR="00951240" w:rsidRPr="00497EA2" w:rsidRDefault="00951240" w:rsidP="00951240">
            <w:r w:rsidRPr="003D72CD">
              <w:t>Cacchioni, Thea</w:t>
            </w:r>
            <w:r w:rsidR="00497EA2" w:rsidRPr="003D72CD">
              <w:t xml:space="preserve">. 2007. “Heterosexuality and 'the Labour of Love': A Contribution to Recent Debates on Female Sexual Dysfunction.” </w:t>
            </w:r>
            <w:r w:rsidR="00497EA2" w:rsidRPr="003D72CD">
              <w:rPr>
                <w:i/>
              </w:rPr>
              <w:t xml:space="preserve">Sexualities </w:t>
            </w:r>
            <w:r w:rsidR="00497EA2" w:rsidRPr="003D72CD">
              <w:t>10:299-320.</w:t>
            </w:r>
            <w:r w:rsidR="00497EA2">
              <w:t xml:space="preserve"> </w:t>
            </w:r>
          </w:p>
          <w:p w:rsidR="005C7706" w:rsidRDefault="000107A5" w:rsidP="008E5FE4">
            <w:r>
              <w:t>Maines ch. 3</w:t>
            </w:r>
          </w:p>
        </w:tc>
      </w:tr>
      <w:tr w:rsidR="005C7706">
        <w:tc>
          <w:tcPr>
            <w:tcW w:w="1278" w:type="dxa"/>
          </w:tcPr>
          <w:p w:rsidR="005C7706" w:rsidRDefault="0078791C">
            <w:r>
              <w:t>10/10 (M</w:t>
            </w:r>
            <w:r w:rsidR="008C243E">
              <w:t>)</w:t>
            </w:r>
          </w:p>
        </w:tc>
        <w:tc>
          <w:tcPr>
            <w:tcW w:w="7578" w:type="dxa"/>
          </w:tcPr>
          <w:p w:rsidR="00AA4852" w:rsidRPr="00AA4852" w:rsidRDefault="00AA4852" w:rsidP="00AA4852">
            <w:r w:rsidRPr="003073BE">
              <w:t xml:space="preserve">Hartley, Heather and Leonore Tiefer. 2003. “Taking a Biological Turn: The Push for a "Female Viagra" and the Medicalization of Women's Sexual Problems.” </w:t>
            </w:r>
            <w:r w:rsidRPr="003073BE">
              <w:rPr>
                <w:i/>
              </w:rPr>
              <w:t xml:space="preserve">Women’s Studies Quarterly </w:t>
            </w:r>
            <w:r w:rsidRPr="003073BE">
              <w:t>31:42-54.</w:t>
            </w:r>
            <w:r>
              <w:t xml:space="preserve"> </w:t>
            </w:r>
          </w:p>
          <w:p w:rsidR="005C7706" w:rsidRDefault="000107A5" w:rsidP="00631888">
            <w:r>
              <w:t>Maines Ch. 4</w:t>
            </w:r>
          </w:p>
        </w:tc>
      </w:tr>
      <w:tr w:rsidR="005C7706">
        <w:tc>
          <w:tcPr>
            <w:tcW w:w="1278" w:type="dxa"/>
          </w:tcPr>
          <w:p w:rsidR="005C7706" w:rsidRDefault="0078791C">
            <w:r>
              <w:t>10/12 (W</w:t>
            </w:r>
            <w:r w:rsidR="008C243E">
              <w:t>)</w:t>
            </w:r>
          </w:p>
        </w:tc>
        <w:tc>
          <w:tcPr>
            <w:tcW w:w="7578" w:type="dxa"/>
          </w:tcPr>
          <w:p w:rsidR="00806419" w:rsidRDefault="000107A5" w:rsidP="000107A5">
            <w:r w:rsidRPr="007B7A19">
              <w:t>Braun, Virginia</w:t>
            </w:r>
            <w:r w:rsidR="00AA4852" w:rsidRPr="007B7A19">
              <w:t xml:space="preserve">. 2005. “In Search of (Better) Sexual Pleasure: Female Genital 'Cosmetic' Surgery.” </w:t>
            </w:r>
            <w:r w:rsidR="00AA4852" w:rsidRPr="007B7A19">
              <w:rPr>
                <w:i/>
              </w:rPr>
              <w:t xml:space="preserve">Sexualities </w:t>
            </w:r>
            <w:r w:rsidR="00AA4852" w:rsidRPr="007B7A19">
              <w:t>8: 407-424.</w:t>
            </w:r>
            <w:r w:rsidR="00AA4852">
              <w:t xml:space="preserve"> </w:t>
            </w:r>
          </w:p>
          <w:p w:rsidR="005C7706" w:rsidRPr="009B0D25" w:rsidRDefault="00806419" w:rsidP="000107A5">
            <w:r>
              <w:t>Maines Ch. 5</w:t>
            </w:r>
          </w:p>
        </w:tc>
      </w:tr>
      <w:tr w:rsidR="005C7706">
        <w:tc>
          <w:tcPr>
            <w:tcW w:w="1278" w:type="dxa"/>
          </w:tcPr>
          <w:p w:rsidR="005C7706" w:rsidRDefault="0078791C">
            <w:r>
              <w:t>10/24 (M</w:t>
            </w:r>
            <w:r w:rsidR="008C243E">
              <w:t>)</w:t>
            </w:r>
          </w:p>
        </w:tc>
        <w:tc>
          <w:tcPr>
            <w:tcW w:w="7578" w:type="dxa"/>
          </w:tcPr>
          <w:p w:rsidR="00C032E9" w:rsidRDefault="00C032E9">
            <w:pPr>
              <w:rPr>
                <w:b/>
              </w:rPr>
            </w:pPr>
            <w:r>
              <w:rPr>
                <w:b/>
              </w:rPr>
              <w:t>Film</w:t>
            </w:r>
            <w:r w:rsidR="00806419">
              <w:rPr>
                <w:b/>
              </w:rPr>
              <w:t xml:space="preserve">: Orgasm, Inc. </w:t>
            </w:r>
          </w:p>
          <w:p w:rsidR="005C7706" w:rsidRPr="00806419" w:rsidRDefault="009B0D25">
            <w:pPr>
              <w:rPr>
                <w:b/>
              </w:rPr>
            </w:pPr>
            <w:r>
              <w:rPr>
                <w:b/>
              </w:rPr>
              <w:t>Sexuality paper due</w:t>
            </w:r>
          </w:p>
        </w:tc>
      </w:tr>
      <w:tr w:rsidR="008F644F">
        <w:tc>
          <w:tcPr>
            <w:tcW w:w="8856" w:type="dxa"/>
            <w:gridSpan w:val="2"/>
          </w:tcPr>
          <w:p w:rsidR="008F644F" w:rsidRDefault="008F644F" w:rsidP="008F644F">
            <w:pPr>
              <w:jc w:val="center"/>
            </w:pPr>
          </w:p>
          <w:p w:rsidR="008F644F" w:rsidRPr="00D51F57" w:rsidRDefault="008F644F" w:rsidP="008F644F">
            <w:pPr>
              <w:jc w:val="center"/>
              <w:rPr>
                <w:b/>
              </w:rPr>
            </w:pPr>
            <w:r w:rsidRPr="00D51F57">
              <w:rPr>
                <w:b/>
              </w:rPr>
              <w:t>Reproductive Technologies</w:t>
            </w:r>
          </w:p>
          <w:p w:rsidR="008F644F" w:rsidRDefault="008F644F" w:rsidP="008F644F">
            <w:pPr>
              <w:jc w:val="center"/>
            </w:pPr>
          </w:p>
        </w:tc>
      </w:tr>
      <w:tr w:rsidR="005C7706">
        <w:tc>
          <w:tcPr>
            <w:tcW w:w="1278" w:type="dxa"/>
          </w:tcPr>
          <w:p w:rsidR="005C7706" w:rsidRDefault="0078791C">
            <w:r>
              <w:t>10/26 (W</w:t>
            </w:r>
            <w:r w:rsidR="008C243E">
              <w:t>)</w:t>
            </w:r>
          </w:p>
        </w:tc>
        <w:tc>
          <w:tcPr>
            <w:tcW w:w="7578" w:type="dxa"/>
          </w:tcPr>
          <w:p w:rsidR="00792876" w:rsidRPr="007B7A19" w:rsidRDefault="00792876" w:rsidP="00792876">
            <w:r w:rsidRPr="007B7A19">
              <w:t>Hardon, Anita</w:t>
            </w:r>
            <w:r w:rsidR="00BA1305" w:rsidRPr="007B7A19">
              <w:t>. 2006. “Contesting Contraceptive Innovation -- Reinventing the Script.”</w:t>
            </w:r>
          </w:p>
          <w:p w:rsidR="00D83932" w:rsidRDefault="00792876" w:rsidP="00792876">
            <w:r w:rsidRPr="007B7A19">
              <w:rPr>
                <w:i/>
              </w:rPr>
              <w:t>Social Science &amp; Medicine</w:t>
            </w:r>
            <w:r w:rsidR="00BA1305" w:rsidRPr="007B7A19">
              <w:t xml:space="preserve"> </w:t>
            </w:r>
            <w:r w:rsidRPr="007B7A19">
              <w:t>62</w:t>
            </w:r>
            <w:r w:rsidR="00BA1305" w:rsidRPr="007B7A19">
              <w:t xml:space="preserve">: </w:t>
            </w:r>
            <w:r w:rsidRPr="007B7A19">
              <w:t>614-627</w:t>
            </w:r>
            <w:r w:rsidR="00BA1305" w:rsidRPr="007B7A19">
              <w:t>.</w:t>
            </w:r>
          </w:p>
          <w:p w:rsidR="005C7706" w:rsidRDefault="00D83932" w:rsidP="00792876">
            <w:r>
              <w:t>Annandale Ch. 4</w:t>
            </w:r>
          </w:p>
        </w:tc>
      </w:tr>
      <w:tr w:rsidR="005C7706">
        <w:tc>
          <w:tcPr>
            <w:tcW w:w="1278" w:type="dxa"/>
          </w:tcPr>
          <w:p w:rsidR="005C7706" w:rsidRDefault="0078791C">
            <w:r>
              <w:t>10/31 (M)</w:t>
            </w:r>
          </w:p>
        </w:tc>
        <w:tc>
          <w:tcPr>
            <w:tcW w:w="7578" w:type="dxa"/>
          </w:tcPr>
          <w:p w:rsidR="005C7706" w:rsidRPr="00DC5AFD" w:rsidRDefault="004300B8">
            <w:r w:rsidRPr="003A3467">
              <w:t xml:space="preserve">Friese, Carrie, Gay Becker and Robert D. Nachtigall. 2006. “Rethinking the biological clock: Eleventh-hour moms, miracle moms and meanings of age-related infertility.”  </w:t>
            </w:r>
            <w:r w:rsidRPr="003A3467">
              <w:rPr>
                <w:i/>
              </w:rPr>
              <w:t xml:space="preserve">Social Science &amp; Medicine </w:t>
            </w:r>
            <w:r w:rsidRPr="003A3467">
              <w:t>63: 1550-1560.</w:t>
            </w:r>
          </w:p>
        </w:tc>
      </w:tr>
      <w:tr w:rsidR="005C7706">
        <w:tc>
          <w:tcPr>
            <w:tcW w:w="1278" w:type="dxa"/>
          </w:tcPr>
          <w:p w:rsidR="005C7706" w:rsidRDefault="0078791C">
            <w:r>
              <w:t>11/2 (W</w:t>
            </w:r>
            <w:r w:rsidR="008C243E">
              <w:t>)</w:t>
            </w:r>
          </w:p>
        </w:tc>
        <w:tc>
          <w:tcPr>
            <w:tcW w:w="7578" w:type="dxa"/>
          </w:tcPr>
          <w:p w:rsidR="00DE0D93" w:rsidRDefault="00C032E9" w:rsidP="00BA1305">
            <w:pPr>
              <w:rPr>
                <w:b/>
              </w:rPr>
            </w:pPr>
            <w:r w:rsidRPr="005F4D0B">
              <w:rPr>
                <w:b/>
              </w:rPr>
              <w:t>Exam 2</w:t>
            </w:r>
          </w:p>
          <w:p w:rsidR="005C7706" w:rsidRPr="00876282" w:rsidRDefault="005C7706" w:rsidP="00BA1305">
            <w:pPr>
              <w:rPr>
                <w:b/>
              </w:rPr>
            </w:pPr>
          </w:p>
        </w:tc>
      </w:tr>
      <w:tr w:rsidR="00C032E9">
        <w:tc>
          <w:tcPr>
            <w:tcW w:w="8856" w:type="dxa"/>
            <w:gridSpan w:val="2"/>
          </w:tcPr>
          <w:p w:rsidR="00C032E9" w:rsidRDefault="00C032E9" w:rsidP="00C032E9">
            <w:pPr>
              <w:jc w:val="center"/>
              <w:rPr>
                <w:b/>
              </w:rPr>
            </w:pPr>
          </w:p>
          <w:p w:rsidR="00C032E9" w:rsidRPr="00D51F57" w:rsidRDefault="00C032E9" w:rsidP="00C032E9">
            <w:pPr>
              <w:jc w:val="center"/>
              <w:rPr>
                <w:b/>
              </w:rPr>
            </w:pPr>
            <w:r w:rsidRPr="00D51F57">
              <w:rPr>
                <w:b/>
              </w:rPr>
              <w:t>Childbirth</w:t>
            </w:r>
          </w:p>
          <w:p w:rsidR="00C032E9" w:rsidRDefault="00C032E9">
            <w:pPr>
              <w:rPr>
                <w:b/>
              </w:rPr>
            </w:pPr>
          </w:p>
        </w:tc>
      </w:tr>
      <w:tr w:rsidR="005C7706">
        <w:tc>
          <w:tcPr>
            <w:tcW w:w="1278" w:type="dxa"/>
          </w:tcPr>
          <w:p w:rsidR="005C7706" w:rsidRDefault="0078791C">
            <w:r>
              <w:t>11/7 (M</w:t>
            </w:r>
            <w:r w:rsidR="008C243E">
              <w:t>)</w:t>
            </w:r>
          </w:p>
        </w:tc>
        <w:tc>
          <w:tcPr>
            <w:tcW w:w="7578" w:type="dxa"/>
          </w:tcPr>
          <w:p w:rsidR="00C032E9" w:rsidRDefault="00C032E9" w:rsidP="00C032E9">
            <w:r>
              <w:t>Block Introduction -Ch. 1</w:t>
            </w:r>
          </w:p>
          <w:p w:rsidR="005C7706" w:rsidRPr="00C032E9" w:rsidRDefault="00C032E9">
            <w:pPr>
              <w:rPr>
                <w:b/>
              </w:rPr>
            </w:pPr>
            <w:r w:rsidRPr="00C032E9">
              <w:rPr>
                <w:b/>
              </w:rPr>
              <w:t xml:space="preserve">Film: </w:t>
            </w:r>
            <w:r w:rsidRPr="00C032E9">
              <w:rPr>
                <w:b/>
                <w:i/>
              </w:rPr>
              <w:t>Business of Being Born</w:t>
            </w:r>
          </w:p>
        </w:tc>
      </w:tr>
      <w:tr w:rsidR="005C7706">
        <w:tc>
          <w:tcPr>
            <w:tcW w:w="1278" w:type="dxa"/>
          </w:tcPr>
          <w:p w:rsidR="005C7706" w:rsidRDefault="0078791C">
            <w:r>
              <w:t>11/9 (W</w:t>
            </w:r>
            <w:r w:rsidR="008C243E">
              <w:t>)</w:t>
            </w:r>
          </w:p>
        </w:tc>
        <w:tc>
          <w:tcPr>
            <w:tcW w:w="7578" w:type="dxa"/>
          </w:tcPr>
          <w:p w:rsidR="005C7706" w:rsidRDefault="00C032E9" w:rsidP="00CF5986">
            <w:r>
              <w:t>Block Ch. 2-3</w:t>
            </w:r>
          </w:p>
        </w:tc>
      </w:tr>
      <w:tr w:rsidR="00C032E9">
        <w:tc>
          <w:tcPr>
            <w:tcW w:w="1278" w:type="dxa"/>
          </w:tcPr>
          <w:p w:rsidR="00C032E9" w:rsidRDefault="00C032E9">
            <w:r>
              <w:t>11/14 (M)</w:t>
            </w:r>
          </w:p>
        </w:tc>
        <w:tc>
          <w:tcPr>
            <w:tcW w:w="7578" w:type="dxa"/>
          </w:tcPr>
          <w:p w:rsidR="00C032E9" w:rsidRDefault="00C032E9" w:rsidP="00AE31F4">
            <w:r w:rsidRPr="003D72CD">
              <w:t xml:space="preserve">Beckett, Katherine. 2005. “Choosing Cesarean: Feminism and the Politics of Childbirth in the United States.” </w:t>
            </w:r>
            <w:r w:rsidRPr="003D72CD">
              <w:rPr>
                <w:i/>
              </w:rPr>
              <w:t>Feminist Theory</w:t>
            </w:r>
            <w:r w:rsidRPr="003D72CD">
              <w:t xml:space="preserve"> 6: 251-275.</w:t>
            </w:r>
            <w:r>
              <w:t xml:space="preserve"> </w:t>
            </w:r>
          </w:p>
          <w:p w:rsidR="00C032E9" w:rsidRDefault="00C032E9" w:rsidP="00487752">
            <w:r>
              <w:t>Block Ch. 4</w:t>
            </w:r>
          </w:p>
        </w:tc>
      </w:tr>
      <w:tr w:rsidR="00C032E9">
        <w:tc>
          <w:tcPr>
            <w:tcW w:w="1278" w:type="dxa"/>
          </w:tcPr>
          <w:p w:rsidR="00C032E9" w:rsidRDefault="00C032E9">
            <w:r>
              <w:t>11/16 (W)</w:t>
            </w:r>
          </w:p>
        </w:tc>
        <w:tc>
          <w:tcPr>
            <w:tcW w:w="7578" w:type="dxa"/>
          </w:tcPr>
          <w:p w:rsidR="00C032E9" w:rsidRDefault="00C032E9" w:rsidP="00C032E9">
            <w:r>
              <w:t xml:space="preserve">Block Ch. 5 </w:t>
            </w:r>
          </w:p>
          <w:p w:rsidR="00C032E9" w:rsidRPr="00C032E9" w:rsidRDefault="00C032E9" w:rsidP="00C032E9">
            <w:pPr>
              <w:rPr>
                <w:b/>
              </w:rPr>
            </w:pPr>
            <w:r w:rsidRPr="00C032E9">
              <w:rPr>
                <w:b/>
              </w:rPr>
              <w:t>Speaker panel</w:t>
            </w:r>
            <w:r>
              <w:rPr>
                <w:b/>
              </w:rPr>
              <w:t>: Birth Doulas</w:t>
            </w:r>
          </w:p>
        </w:tc>
      </w:tr>
      <w:tr w:rsidR="00C032E9">
        <w:tc>
          <w:tcPr>
            <w:tcW w:w="1278" w:type="dxa"/>
          </w:tcPr>
          <w:p w:rsidR="00C032E9" w:rsidRDefault="00C032E9">
            <w:r>
              <w:t>11/21 (M)</w:t>
            </w:r>
          </w:p>
        </w:tc>
        <w:tc>
          <w:tcPr>
            <w:tcW w:w="7578" w:type="dxa"/>
          </w:tcPr>
          <w:p w:rsidR="00C032E9" w:rsidRDefault="00C032E9" w:rsidP="00113513">
            <w:r>
              <w:t>Block Ch. 6-7</w:t>
            </w:r>
          </w:p>
        </w:tc>
      </w:tr>
      <w:tr w:rsidR="00C032E9">
        <w:tc>
          <w:tcPr>
            <w:tcW w:w="1278" w:type="dxa"/>
          </w:tcPr>
          <w:p w:rsidR="00C032E9" w:rsidRDefault="00C032E9">
            <w:r>
              <w:t>11/28 (M)</w:t>
            </w:r>
          </w:p>
        </w:tc>
        <w:tc>
          <w:tcPr>
            <w:tcW w:w="7578" w:type="dxa"/>
          </w:tcPr>
          <w:p w:rsidR="00C032E9" w:rsidRDefault="00C032E9" w:rsidP="00C032E9">
            <w:r w:rsidRPr="007B7A19">
              <w:t xml:space="preserve">Layne, Linda L. 2003. “Unhappy Endings: A Feminist Reappraisal of the Women's Health Movement from the Vantage of Pregnancy Loss.” </w:t>
            </w:r>
            <w:r w:rsidRPr="007B7A19">
              <w:rPr>
                <w:i/>
              </w:rPr>
              <w:t>Social Science and Medicine</w:t>
            </w:r>
            <w:r w:rsidRPr="007B7A19">
              <w:t xml:space="preserve"> 56: 1881-1891.</w:t>
            </w:r>
            <w:r>
              <w:t xml:space="preserve"> </w:t>
            </w:r>
          </w:p>
          <w:p w:rsidR="00C032E9" w:rsidRDefault="00C032E9" w:rsidP="00C032E9">
            <w:r>
              <w:t>Block Ch. 8</w:t>
            </w:r>
          </w:p>
          <w:p w:rsidR="00C032E9" w:rsidRDefault="00C032E9" w:rsidP="00C032E9">
            <w:pPr>
              <w:rPr>
                <w:b/>
              </w:rPr>
            </w:pPr>
            <w:r>
              <w:rPr>
                <w:b/>
              </w:rPr>
              <w:t>Speaker panel: Home Birth Mothers</w:t>
            </w:r>
          </w:p>
          <w:p w:rsidR="00C032E9" w:rsidRPr="00C032E9" w:rsidRDefault="00C032E9" w:rsidP="00C032E9">
            <w:pPr>
              <w:rPr>
                <w:b/>
              </w:rPr>
            </w:pPr>
            <w:r>
              <w:rPr>
                <w:b/>
              </w:rPr>
              <w:t>Childbirth paper due</w:t>
            </w:r>
          </w:p>
        </w:tc>
      </w:tr>
      <w:tr w:rsidR="00C032E9">
        <w:tc>
          <w:tcPr>
            <w:tcW w:w="8856" w:type="dxa"/>
            <w:gridSpan w:val="2"/>
          </w:tcPr>
          <w:p w:rsidR="00C032E9" w:rsidRDefault="00C032E9" w:rsidP="00C032E9">
            <w:pPr>
              <w:jc w:val="center"/>
              <w:rPr>
                <w:b/>
              </w:rPr>
            </w:pPr>
          </w:p>
          <w:p w:rsidR="00C032E9" w:rsidRPr="00D51F57" w:rsidRDefault="00C032E9" w:rsidP="00C032E9">
            <w:pPr>
              <w:jc w:val="center"/>
              <w:rPr>
                <w:b/>
              </w:rPr>
            </w:pPr>
            <w:r w:rsidRPr="00D51F57">
              <w:rPr>
                <w:b/>
              </w:rPr>
              <w:t>Menopause</w:t>
            </w:r>
          </w:p>
          <w:p w:rsidR="00C032E9" w:rsidRDefault="00C032E9"/>
        </w:tc>
      </w:tr>
      <w:tr w:rsidR="00C032E9">
        <w:tc>
          <w:tcPr>
            <w:tcW w:w="1278" w:type="dxa"/>
          </w:tcPr>
          <w:p w:rsidR="00C032E9" w:rsidRDefault="00C032E9">
            <w:r>
              <w:t>11/30 (W)</w:t>
            </w:r>
          </w:p>
        </w:tc>
        <w:tc>
          <w:tcPr>
            <w:tcW w:w="7578" w:type="dxa"/>
          </w:tcPr>
          <w:p w:rsidR="00C032E9" w:rsidRPr="007B7A19" w:rsidRDefault="00C032E9" w:rsidP="00C032E9">
            <w:r w:rsidRPr="007B7A19">
              <w:t xml:space="preserve">Dillaway, Heather E. 2005. “Menopause Is the "Good Old": Women's Thoughts about Reproductive Aging.” </w:t>
            </w:r>
            <w:r w:rsidRPr="007B7A19">
              <w:rPr>
                <w:i/>
              </w:rPr>
              <w:t xml:space="preserve">Gender and Society </w:t>
            </w:r>
            <w:r w:rsidRPr="007B7A19">
              <w:t xml:space="preserve">19: 398-417. </w:t>
            </w:r>
          </w:p>
          <w:p w:rsidR="00C032E9" w:rsidRDefault="00C032E9" w:rsidP="00C032E9">
            <w:r w:rsidRPr="007B7A19">
              <w:t xml:space="preserve">Morris, Margaret E. and Anthea Symonds. 2004. “'We've Been Trained to Put Up with It': Real Women and the Menopause.” </w:t>
            </w:r>
            <w:r w:rsidRPr="007B7A19">
              <w:rPr>
                <w:i/>
              </w:rPr>
              <w:t>Critical Public Health</w:t>
            </w:r>
            <w:r w:rsidRPr="007B7A19">
              <w:t xml:space="preserve"> 14:  311-323.</w:t>
            </w:r>
          </w:p>
        </w:tc>
      </w:tr>
      <w:tr w:rsidR="00C032E9">
        <w:tc>
          <w:tcPr>
            <w:tcW w:w="1278" w:type="dxa"/>
          </w:tcPr>
          <w:p w:rsidR="00C032E9" w:rsidRDefault="00C032E9">
            <w:r>
              <w:t>12/5 (M)</w:t>
            </w:r>
          </w:p>
        </w:tc>
        <w:tc>
          <w:tcPr>
            <w:tcW w:w="7578" w:type="dxa"/>
          </w:tcPr>
          <w:p w:rsidR="00C032E9" w:rsidRDefault="00C032E9" w:rsidP="001003DE">
            <w:r w:rsidRPr="007B7A19">
              <w:t xml:space="preserve">Murtagh, Madeleine J. and Julie Hepworth. 2003. “Menopause as a Long-Term Risk to Health: Implications of General Practitioner Accounts of Prevention for Women's Choice and Decision-Making.” </w:t>
            </w:r>
            <w:r w:rsidRPr="007B7A19">
              <w:rPr>
                <w:i/>
              </w:rPr>
              <w:t xml:space="preserve">Sociology of Health and Illness </w:t>
            </w:r>
            <w:r w:rsidRPr="007B7A19">
              <w:t>25:185-207.</w:t>
            </w:r>
          </w:p>
          <w:p w:rsidR="00C032E9" w:rsidRPr="00C032E9" w:rsidRDefault="00874860" w:rsidP="001003DE">
            <w:pPr>
              <w:rPr>
                <w:b/>
              </w:rPr>
            </w:pPr>
            <w:r>
              <w:rPr>
                <w:b/>
              </w:rPr>
              <w:t xml:space="preserve">Speaker panel: </w:t>
            </w:r>
            <w:r w:rsidR="00C032E9">
              <w:rPr>
                <w:b/>
              </w:rPr>
              <w:t>Menopause</w:t>
            </w:r>
          </w:p>
        </w:tc>
      </w:tr>
      <w:tr w:rsidR="00C032E9">
        <w:tc>
          <w:tcPr>
            <w:tcW w:w="1278" w:type="dxa"/>
          </w:tcPr>
          <w:p w:rsidR="00C032E9" w:rsidRDefault="00C032E9">
            <w:r>
              <w:t>12/7 (W)</w:t>
            </w:r>
          </w:p>
        </w:tc>
        <w:tc>
          <w:tcPr>
            <w:tcW w:w="7578" w:type="dxa"/>
          </w:tcPr>
          <w:p w:rsidR="00DE0D93" w:rsidRDefault="00C032E9" w:rsidP="00CB077D">
            <w:r>
              <w:t>Wrap up</w:t>
            </w:r>
          </w:p>
          <w:p w:rsidR="00C032E9" w:rsidRPr="007B7A19" w:rsidRDefault="00DE0D93" w:rsidP="00CB077D">
            <w:r>
              <w:rPr>
                <w:b/>
              </w:rPr>
              <w:t>Menopause paper due</w:t>
            </w:r>
          </w:p>
        </w:tc>
      </w:tr>
      <w:tr w:rsidR="00C032E9">
        <w:tc>
          <w:tcPr>
            <w:tcW w:w="1278" w:type="dxa"/>
          </w:tcPr>
          <w:p w:rsidR="00C032E9" w:rsidRDefault="00C032E9">
            <w:r>
              <w:t>12/15 (Th)</w:t>
            </w:r>
          </w:p>
        </w:tc>
        <w:tc>
          <w:tcPr>
            <w:tcW w:w="7578" w:type="dxa"/>
          </w:tcPr>
          <w:p w:rsidR="00C032E9" w:rsidRDefault="00C032E9">
            <w:pPr>
              <w:rPr>
                <w:b/>
              </w:rPr>
            </w:pPr>
            <w:r>
              <w:rPr>
                <w:b/>
              </w:rPr>
              <w:t>Exam 3</w:t>
            </w:r>
          </w:p>
          <w:p w:rsidR="00C032E9" w:rsidRDefault="00C032E9">
            <w:r>
              <w:t>8:30-11:30am</w:t>
            </w:r>
          </w:p>
        </w:tc>
      </w:tr>
    </w:tbl>
    <w:p w:rsidR="00F94294" w:rsidRDefault="00F94294"/>
    <w:p w:rsidR="00F94294" w:rsidRDefault="00F94294">
      <w:r>
        <w:tab/>
      </w:r>
    </w:p>
    <w:sectPr w:rsidR="00F94294" w:rsidSect="002B1F9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998" w:rsidRDefault="00E40998" w:rsidP="00E40998">
      <w:r>
        <w:separator/>
      </w:r>
    </w:p>
  </w:endnote>
  <w:endnote w:type="continuationSeparator" w:id="0">
    <w:p w:rsidR="00E40998" w:rsidRDefault="00E40998" w:rsidP="00E40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FD" w:rsidRDefault="00E40998" w:rsidP="00F94294">
    <w:pPr>
      <w:pStyle w:val="Footer"/>
      <w:framePr w:wrap="around" w:vAnchor="text" w:hAnchor="margin" w:xAlign="right" w:y="1"/>
      <w:rPr>
        <w:rStyle w:val="PageNumber"/>
      </w:rPr>
    </w:pPr>
    <w:r>
      <w:rPr>
        <w:rStyle w:val="PageNumber"/>
      </w:rPr>
      <w:fldChar w:fldCharType="begin"/>
    </w:r>
    <w:r w:rsidR="00DC5AFD">
      <w:rPr>
        <w:rStyle w:val="PageNumber"/>
      </w:rPr>
      <w:instrText xml:space="preserve">PAGE  </w:instrText>
    </w:r>
    <w:r>
      <w:rPr>
        <w:rStyle w:val="PageNumber"/>
      </w:rPr>
      <w:fldChar w:fldCharType="end"/>
    </w:r>
  </w:p>
  <w:p w:rsidR="00DC5AFD" w:rsidRDefault="00DC5AFD" w:rsidP="00F942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AFD" w:rsidRDefault="00E40998" w:rsidP="00F94294">
    <w:pPr>
      <w:pStyle w:val="Footer"/>
      <w:framePr w:wrap="around" w:vAnchor="text" w:hAnchor="margin" w:xAlign="right" w:y="1"/>
      <w:rPr>
        <w:rStyle w:val="PageNumber"/>
      </w:rPr>
    </w:pPr>
    <w:r>
      <w:rPr>
        <w:rStyle w:val="PageNumber"/>
      </w:rPr>
      <w:fldChar w:fldCharType="begin"/>
    </w:r>
    <w:r w:rsidR="00DC5AFD">
      <w:rPr>
        <w:rStyle w:val="PageNumber"/>
      </w:rPr>
      <w:instrText xml:space="preserve">PAGE  </w:instrText>
    </w:r>
    <w:r>
      <w:rPr>
        <w:rStyle w:val="PageNumber"/>
      </w:rPr>
      <w:fldChar w:fldCharType="separate"/>
    </w:r>
    <w:r w:rsidR="002A4465">
      <w:rPr>
        <w:rStyle w:val="PageNumber"/>
        <w:noProof/>
      </w:rPr>
      <w:t>1</w:t>
    </w:r>
    <w:r>
      <w:rPr>
        <w:rStyle w:val="PageNumber"/>
      </w:rPr>
      <w:fldChar w:fldCharType="end"/>
    </w:r>
  </w:p>
  <w:p w:rsidR="00DC5AFD" w:rsidRDefault="00DC5AFD" w:rsidP="00F9429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998" w:rsidRDefault="00E40998" w:rsidP="00E40998">
      <w:r>
        <w:separator/>
      </w:r>
    </w:p>
  </w:footnote>
  <w:footnote w:type="continuationSeparator" w:id="0">
    <w:p w:rsidR="00E40998" w:rsidRDefault="00E40998" w:rsidP="00E40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5F32"/>
    <w:multiLevelType w:val="hybridMultilevel"/>
    <w:tmpl w:val="14D46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43C60"/>
    <w:multiLevelType w:val="hybridMultilevel"/>
    <w:tmpl w:val="D7183A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E4964"/>
    <w:rsid w:val="00000980"/>
    <w:rsid w:val="000036EB"/>
    <w:rsid w:val="00007CA7"/>
    <w:rsid w:val="000107A5"/>
    <w:rsid w:val="00025E3A"/>
    <w:rsid w:val="00056A1D"/>
    <w:rsid w:val="00062A86"/>
    <w:rsid w:val="00090331"/>
    <w:rsid w:val="000C54FF"/>
    <w:rsid w:val="000E4964"/>
    <w:rsid w:val="000F1720"/>
    <w:rsid w:val="000F4497"/>
    <w:rsid w:val="001003DE"/>
    <w:rsid w:val="00113513"/>
    <w:rsid w:val="0012615D"/>
    <w:rsid w:val="00126A65"/>
    <w:rsid w:val="001657B3"/>
    <w:rsid w:val="00176B77"/>
    <w:rsid w:val="00190089"/>
    <w:rsid w:val="001C6130"/>
    <w:rsid w:val="00205FF8"/>
    <w:rsid w:val="0020722D"/>
    <w:rsid w:val="00226624"/>
    <w:rsid w:val="00240388"/>
    <w:rsid w:val="00245DC2"/>
    <w:rsid w:val="00250252"/>
    <w:rsid w:val="00254BB4"/>
    <w:rsid w:val="002A05DC"/>
    <w:rsid w:val="002A4465"/>
    <w:rsid w:val="002B1F90"/>
    <w:rsid w:val="002C2C9E"/>
    <w:rsid w:val="003073BE"/>
    <w:rsid w:val="00342985"/>
    <w:rsid w:val="00365F36"/>
    <w:rsid w:val="003A3467"/>
    <w:rsid w:val="003B1B43"/>
    <w:rsid w:val="003B3A24"/>
    <w:rsid w:val="003D72CD"/>
    <w:rsid w:val="003F7FE8"/>
    <w:rsid w:val="00410107"/>
    <w:rsid w:val="0041741B"/>
    <w:rsid w:val="004300B8"/>
    <w:rsid w:val="00437EB3"/>
    <w:rsid w:val="00480BBF"/>
    <w:rsid w:val="00487752"/>
    <w:rsid w:val="00497EA2"/>
    <w:rsid w:val="004A7C99"/>
    <w:rsid w:val="004B0C39"/>
    <w:rsid w:val="004C523B"/>
    <w:rsid w:val="004E4002"/>
    <w:rsid w:val="00500454"/>
    <w:rsid w:val="00531854"/>
    <w:rsid w:val="00542504"/>
    <w:rsid w:val="00553B6F"/>
    <w:rsid w:val="00565941"/>
    <w:rsid w:val="00585509"/>
    <w:rsid w:val="0058575F"/>
    <w:rsid w:val="005875AB"/>
    <w:rsid w:val="005910C0"/>
    <w:rsid w:val="005961FB"/>
    <w:rsid w:val="005C7706"/>
    <w:rsid w:val="005F0103"/>
    <w:rsid w:val="005F07E9"/>
    <w:rsid w:val="005F2DFE"/>
    <w:rsid w:val="005F4D0B"/>
    <w:rsid w:val="00631888"/>
    <w:rsid w:val="00640B40"/>
    <w:rsid w:val="00664871"/>
    <w:rsid w:val="006777F3"/>
    <w:rsid w:val="00680111"/>
    <w:rsid w:val="00712277"/>
    <w:rsid w:val="00725EF4"/>
    <w:rsid w:val="00751F90"/>
    <w:rsid w:val="00772919"/>
    <w:rsid w:val="0078791C"/>
    <w:rsid w:val="00792876"/>
    <w:rsid w:val="007A6011"/>
    <w:rsid w:val="007B0972"/>
    <w:rsid w:val="007B7A19"/>
    <w:rsid w:val="007D5AA6"/>
    <w:rsid w:val="00805E37"/>
    <w:rsid w:val="00806419"/>
    <w:rsid w:val="00830ABF"/>
    <w:rsid w:val="00847660"/>
    <w:rsid w:val="00861D86"/>
    <w:rsid w:val="00874860"/>
    <w:rsid w:val="00876282"/>
    <w:rsid w:val="008907D6"/>
    <w:rsid w:val="008A1005"/>
    <w:rsid w:val="008A4C06"/>
    <w:rsid w:val="008A58E5"/>
    <w:rsid w:val="008C243E"/>
    <w:rsid w:val="008C2EA0"/>
    <w:rsid w:val="008E5FE4"/>
    <w:rsid w:val="008F2210"/>
    <w:rsid w:val="008F644F"/>
    <w:rsid w:val="00922FFD"/>
    <w:rsid w:val="00941E86"/>
    <w:rsid w:val="00951240"/>
    <w:rsid w:val="00960DE0"/>
    <w:rsid w:val="009A4715"/>
    <w:rsid w:val="009B0D25"/>
    <w:rsid w:val="00A47C4A"/>
    <w:rsid w:val="00A97EF3"/>
    <w:rsid w:val="00AA11E8"/>
    <w:rsid w:val="00AA1C4C"/>
    <w:rsid w:val="00AA3CF2"/>
    <w:rsid w:val="00AA4852"/>
    <w:rsid w:val="00AB24DB"/>
    <w:rsid w:val="00AB77CB"/>
    <w:rsid w:val="00AC5F48"/>
    <w:rsid w:val="00AE31F4"/>
    <w:rsid w:val="00AF3329"/>
    <w:rsid w:val="00B167A5"/>
    <w:rsid w:val="00B2385D"/>
    <w:rsid w:val="00B261F3"/>
    <w:rsid w:val="00B27245"/>
    <w:rsid w:val="00B32116"/>
    <w:rsid w:val="00B55D4F"/>
    <w:rsid w:val="00B72B6E"/>
    <w:rsid w:val="00B772AC"/>
    <w:rsid w:val="00B9352A"/>
    <w:rsid w:val="00BA1305"/>
    <w:rsid w:val="00BA284E"/>
    <w:rsid w:val="00BA4ABE"/>
    <w:rsid w:val="00BA51CE"/>
    <w:rsid w:val="00BC05D7"/>
    <w:rsid w:val="00BD6EDC"/>
    <w:rsid w:val="00BF2BCE"/>
    <w:rsid w:val="00C032E9"/>
    <w:rsid w:val="00C300CB"/>
    <w:rsid w:val="00C321C3"/>
    <w:rsid w:val="00C90CD4"/>
    <w:rsid w:val="00C923C7"/>
    <w:rsid w:val="00CA5D54"/>
    <w:rsid w:val="00CB077D"/>
    <w:rsid w:val="00CB5D85"/>
    <w:rsid w:val="00CB6B8B"/>
    <w:rsid w:val="00CD7983"/>
    <w:rsid w:val="00CF5986"/>
    <w:rsid w:val="00D35E05"/>
    <w:rsid w:val="00D3694C"/>
    <w:rsid w:val="00D40DBF"/>
    <w:rsid w:val="00D4482A"/>
    <w:rsid w:val="00D51F57"/>
    <w:rsid w:val="00D614F5"/>
    <w:rsid w:val="00D83932"/>
    <w:rsid w:val="00D90EAB"/>
    <w:rsid w:val="00D94291"/>
    <w:rsid w:val="00DA18C7"/>
    <w:rsid w:val="00DB26AD"/>
    <w:rsid w:val="00DC5AFD"/>
    <w:rsid w:val="00DE0D93"/>
    <w:rsid w:val="00E075C2"/>
    <w:rsid w:val="00E40998"/>
    <w:rsid w:val="00E625C0"/>
    <w:rsid w:val="00E632A7"/>
    <w:rsid w:val="00E7031A"/>
    <w:rsid w:val="00E925D8"/>
    <w:rsid w:val="00EC1538"/>
    <w:rsid w:val="00ED482A"/>
    <w:rsid w:val="00EE4DDE"/>
    <w:rsid w:val="00EE6D55"/>
    <w:rsid w:val="00EF3A3E"/>
    <w:rsid w:val="00F0240C"/>
    <w:rsid w:val="00F148D1"/>
    <w:rsid w:val="00F37D2E"/>
    <w:rsid w:val="00F4582B"/>
    <w:rsid w:val="00F45CF8"/>
    <w:rsid w:val="00F6307C"/>
    <w:rsid w:val="00F7286C"/>
    <w:rsid w:val="00F86CFC"/>
    <w:rsid w:val="00F904A6"/>
    <w:rsid w:val="00F94294"/>
    <w:rsid w:val="00FE555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964"/>
    <w:pPr>
      <w:spacing w:after="0"/>
    </w:pPr>
    <w:rPr>
      <w:rFonts w:ascii="Times New Roman" w:eastAsia="Times New Roman" w:hAnsi="Times New Roman" w:cs="Times New Roman"/>
    </w:rPr>
  </w:style>
  <w:style w:type="paragraph" w:styleId="Heading1">
    <w:name w:val="heading 1"/>
    <w:basedOn w:val="Normal"/>
    <w:next w:val="Normal"/>
    <w:link w:val="Heading1Char"/>
    <w:qFormat/>
    <w:rsid w:val="000E4964"/>
    <w:pPr>
      <w:keepNext/>
      <w:jc w:val="center"/>
      <w:outlineLvl w:val="0"/>
    </w:pPr>
    <w:rPr>
      <w:b/>
      <w:bCs/>
    </w:rPr>
  </w:style>
  <w:style w:type="paragraph" w:styleId="Heading3">
    <w:name w:val="heading 3"/>
    <w:basedOn w:val="Normal"/>
    <w:next w:val="Normal"/>
    <w:link w:val="Heading3Char"/>
    <w:qFormat/>
    <w:rsid w:val="000E4964"/>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964"/>
    <w:rPr>
      <w:rFonts w:ascii="Times New Roman" w:eastAsia="Times New Roman" w:hAnsi="Times New Roman" w:cs="Times New Roman"/>
      <w:b/>
      <w:bCs/>
    </w:rPr>
  </w:style>
  <w:style w:type="character" w:customStyle="1" w:styleId="Heading3Char">
    <w:name w:val="Heading 3 Char"/>
    <w:basedOn w:val="DefaultParagraphFont"/>
    <w:link w:val="Heading3"/>
    <w:rsid w:val="000E4964"/>
    <w:rPr>
      <w:rFonts w:ascii="Times New Roman" w:eastAsia="Times New Roman" w:hAnsi="Times New Roman" w:cs="Times New Roman"/>
      <w:b/>
      <w:bCs/>
      <w:u w:val="single"/>
    </w:rPr>
  </w:style>
  <w:style w:type="paragraph" w:styleId="Footer">
    <w:name w:val="footer"/>
    <w:basedOn w:val="Normal"/>
    <w:link w:val="FooterChar"/>
    <w:rsid w:val="000E4964"/>
    <w:pPr>
      <w:tabs>
        <w:tab w:val="center" w:pos="4320"/>
        <w:tab w:val="right" w:pos="8640"/>
      </w:tabs>
    </w:pPr>
  </w:style>
  <w:style w:type="character" w:customStyle="1" w:styleId="FooterChar">
    <w:name w:val="Footer Char"/>
    <w:basedOn w:val="DefaultParagraphFont"/>
    <w:link w:val="Footer"/>
    <w:rsid w:val="000E4964"/>
    <w:rPr>
      <w:rFonts w:ascii="Times New Roman" w:eastAsia="Times New Roman" w:hAnsi="Times New Roman" w:cs="Times New Roman"/>
    </w:rPr>
  </w:style>
  <w:style w:type="character" w:styleId="PageNumber">
    <w:name w:val="page number"/>
    <w:basedOn w:val="DefaultParagraphFont"/>
    <w:rsid w:val="000E4964"/>
  </w:style>
  <w:style w:type="table" w:styleId="TableGrid">
    <w:name w:val="Table Grid"/>
    <w:basedOn w:val="TableNormal"/>
    <w:rsid w:val="000E496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04A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9002</Characters>
  <Application>Microsoft Office Word</Application>
  <DocSecurity>0</DocSecurity>
  <Lines>75</Lines>
  <Paragraphs>21</Paragraphs>
  <ScaleCrop>false</ScaleCrop>
  <Company>University</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2011-08-15T13:58:00Z</cp:lastPrinted>
  <dcterms:created xsi:type="dcterms:W3CDTF">2011-08-15T13:58:00Z</dcterms:created>
  <dcterms:modified xsi:type="dcterms:W3CDTF">2011-08-15T13:58:00Z</dcterms:modified>
</cp:coreProperties>
</file>