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97F" w:rsidRPr="00374A24" w:rsidRDefault="000B197F" w:rsidP="000B197F">
      <w:pPr>
        <w:ind w:firstLine="720"/>
        <w:jc w:val="center"/>
        <w:rPr>
          <w:b/>
          <w:sz w:val="28"/>
          <w:szCs w:val="28"/>
        </w:rPr>
      </w:pPr>
      <w:bookmarkStart w:id="0" w:name="_GoBack"/>
      <w:bookmarkEnd w:id="0"/>
      <w:r w:rsidRPr="00374A24">
        <w:rPr>
          <w:b/>
          <w:sz w:val="28"/>
          <w:szCs w:val="28"/>
        </w:rPr>
        <w:t>POLS 390</w:t>
      </w:r>
      <w:r>
        <w:rPr>
          <w:rStyle w:val="FootnoteReference"/>
          <w:b/>
          <w:sz w:val="28"/>
          <w:szCs w:val="28"/>
        </w:rPr>
        <w:footnoteReference w:id="1"/>
      </w:r>
      <w:r w:rsidRPr="00374A24">
        <w:rPr>
          <w:b/>
          <w:sz w:val="28"/>
          <w:szCs w:val="28"/>
        </w:rPr>
        <w:t xml:space="preserve"> Humanitarian Intervention</w:t>
      </w:r>
    </w:p>
    <w:p w:rsidR="000B197F" w:rsidRDefault="000B197F" w:rsidP="000B197F">
      <w:pPr>
        <w:jc w:val="center"/>
      </w:pPr>
    </w:p>
    <w:p w:rsidR="000B197F" w:rsidRDefault="000B197F" w:rsidP="000B197F">
      <w:pPr>
        <w:jc w:val="center"/>
      </w:pPr>
    </w:p>
    <w:p w:rsidR="000B197F" w:rsidRDefault="00371728" w:rsidP="000B197F">
      <w:pPr>
        <w:jc w:val="center"/>
      </w:pPr>
      <w:r>
        <w:rPr>
          <w:noProof/>
        </w:rPr>
        <w:drawing>
          <wp:inline distT="0" distB="0" distL="0" distR="0">
            <wp:extent cx="3340100" cy="26162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40100" cy="2616200"/>
                    </a:xfrm>
                    <a:prstGeom prst="rect">
                      <a:avLst/>
                    </a:prstGeom>
                    <a:noFill/>
                    <a:ln w="9525">
                      <a:noFill/>
                      <a:miter lim="800000"/>
                      <a:headEnd/>
                      <a:tailEnd/>
                    </a:ln>
                  </pic:spPr>
                </pic:pic>
              </a:graphicData>
            </a:graphic>
          </wp:inline>
        </w:drawing>
      </w:r>
    </w:p>
    <w:p w:rsidR="000B197F" w:rsidRDefault="000B197F" w:rsidP="000B197F">
      <w:pPr>
        <w:ind w:left="1440"/>
      </w:pPr>
      <w:r>
        <w:t xml:space="preserve">          Photo credit: Jerry Fowler</w:t>
      </w:r>
    </w:p>
    <w:p w:rsidR="000B197F" w:rsidRDefault="000B197F" w:rsidP="000B197F"/>
    <w:p w:rsidR="000B197F" w:rsidRPr="00530CA6" w:rsidRDefault="000B197F" w:rsidP="000B197F">
      <w:pPr>
        <w:tabs>
          <w:tab w:val="left" w:pos="1740"/>
        </w:tabs>
        <w:rPr>
          <w:sz w:val="23"/>
          <w:szCs w:val="23"/>
        </w:rPr>
      </w:pPr>
      <w:r w:rsidRPr="00530CA6">
        <w:rPr>
          <w:sz w:val="23"/>
          <w:szCs w:val="23"/>
        </w:rPr>
        <w:t xml:space="preserve">Few concepts in international affairs have animated more discussion, indeed more controversy, than the ones entertained in this course. Consider this: On our own campus student groups and their representatives across the political spectrum have spent considerable time and money organizing events to raise awareness of – and to help bring an end to – the genocidal nightmare in the Darfur region of the Sudan. At the same time, however many of those students – and the faculty and staff attracted by their efforts – have often been quite critical of the Bush administration’s war in Iraq that </w:t>
      </w:r>
      <w:r>
        <w:rPr>
          <w:sz w:val="23"/>
          <w:szCs w:val="23"/>
        </w:rPr>
        <w:t>was</w:t>
      </w:r>
      <w:r w:rsidRPr="00530CA6">
        <w:rPr>
          <w:sz w:val="23"/>
          <w:szCs w:val="23"/>
        </w:rPr>
        <w:t xml:space="preserve">, in a very controversial way, justified by the humanitarian benefits of bringing an end to the brutal regime lead by Saddam Hussein. How can we reconcile these differences? Under what conditions (if ever) is it appropriate to use military force – </w:t>
      </w:r>
      <w:r w:rsidRPr="00530CA6">
        <w:rPr>
          <w:i/>
          <w:sz w:val="23"/>
          <w:szCs w:val="23"/>
        </w:rPr>
        <w:t>to ask soldiers to kill and die</w:t>
      </w:r>
      <w:r w:rsidRPr="00530CA6">
        <w:rPr>
          <w:sz w:val="23"/>
          <w:szCs w:val="23"/>
        </w:rPr>
        <w:t xml:space="preserve"> – in order to “save the lives of strangers?”  This question turns out to be massively complicated for it invites all manner of corollary questions such as:</w:t>
      </w:r>
    </w:p>
    <w:p w:rsidR="000B197F" w:rsidRPr="00530CA6" w:rsidRDefault="000B197F" w:rsidP="000B197F">
      <w:pPr>
        <w:tabs>
          <w:tab w:val="left" w:pos="1740"/>
        </w:tabs>
        <w:ind w:left="720"/>
        <w:rPr>
          <w:sz w:val="23"/>
          <w:szCs w:val="23"/>
        </w:rPr>
      </w:pPr>
    </w:p>
    <w:p w:rsidR="000B197F" w:rsidRPr="00530CA6" w:rsidRDefault="000B197F" w:rsidP="000B197F">
      <w:pPr>
        <w:tabs>
          <w:tab w:val="left" w:pos="1740"/>
        </w:tabs>
        <w:ind w:left="720"/>
        <w:rPr>
          <w:sz w:val="23"/>
          <w:szCs w:val="23"/>
        </w:rPr>
      </w:pPr>
      <w:r w:rsidRPr="00530CA6">
        <w:rPr>
          <w:sz w:val="23"/>
          <w:szCs w:val="23"/>
        </w:rPr>
        <w:t>What is the responsibility of the international community to victims of human rights abuses, including genocide?</w:t>
      </w:r>
    </w:p>
    <w:p w:rsidR="000B197F" w:rsidRPr="00530CA6" w:rsidRDefault="000B197F" w:rsidP="000B197F">
      <w:pPr>
        <w:tabs>
          <w:tab w:val="left" w:pos="1740"/>
        </w:tabs>
        <w:ind w:left="720"/>
        <w:rPr>
          <w:sz w:val="23"/>
          <w:szCs w:val="23"/>
        </w:rPr>
      </w:pPr>
      <w:r w:rsidRPr="00530CA6">
        <w:rPr>
          <w:sz w:val="23"/>
          <w:szCs w:val="23"/>
        </w:rPr>
        <w:t>What uses of force are lawful? If not lawful, can they be still ethical?</w:t>
      </w:r>
    </w:p>
    <w:p w:rsidR="000B197F" w:rsidRPr="00530CA6" w:rsidRDefault="000B197F" w:rsidP="000B197F">
      <w:pPr>
        <w:tabs>
          <w:tab w:val="left" w:pos="1740"/>
        </w:tabs>
        <w:ind w:left="720"/>
        <w:rPr>
          <w:sz w:val="23"/>
          <w:szCs w:val="23"/>
        </w:rPr>
      </w:pPr>
      <w:r w:rsidRPr="00530CA6">
        <w:rPr>
          <w:sz w:val="23"/>
          <w:szCs w:val="23"/>
        </w:rPr>
        <w:t xml:space="preserve">Don’t states in the international system have the right to be free from foreign intervention in </w:t>
      </w:r>
      <w:r>
        <w:rPr>
          <w:sz w:val="23"/>
          <w:szCs w:val="23"/>
        </w:rPr>
        <w:t>what are</w:t>
      </w:r>
      <w:r w:rsidRPr="00530CA6">
        <w:rPr>
          <w:sz w:val="23"/>
          <w:szCs w:val="23"/>
        </w:rPr>
        <w:t xml:space="preserve"> essentially domestic affairs of state?</w:t>
      </w:r>
    </w:p>
    <w:p w:rsidR="000B197F" w:rsidRPr="00530CA6" w:rsidRDefault="000B197F" w:rsidP="000B197F">
      <w:pPr>
        <w:tabs>
          <w:tab w:val="left" w:pos="1740"/>
        </w:tabs>
        <w:ind w:left="720"/>
        <w:rPr>
          <w:sz w:val="23"/>
          <w:szCs w:val="23"/>
        </w:rPr>
      </w:pPr>
      <w:r w:rsidRPr="00530CA6">
        <w:rPr>
          <w:sz w:val="23"/>
          <w:szCs w:val="23"/>
        </w:rPr>
        <w:t xml:space="preserve">What does it mean for citizens in the West to call for an end to conflicts in Africa and elsewhere, when roots of those conflicts often lie in the West? </w:t>
      </w:r>
    </w:p>
    <w:p w:rsidR="000B197F" w:rsidRPr="00530CA6" w:rsidRDefault="000B197F" w:rsidP="000B197F">
      <w:pPr>
        <w:tabs>
          <w:tab w:val="left" w:pos="1740"/>
        </w:tabs>
        <w:ind w:left="720"/>
        <w:rPr>
          <w:sz w:val="23"/>
          <w:szCs w:val="23"/>
        </w:rPr>
      </w:pPr>
      <w:r w:rsidRPr="00530CA6">
        <w:rPr>
          <w:sz w:val="23"/>
          <w:szCs w:val="23"/>
        </w:rPr>
        <w:t>If there is a so-called “responsibility to protect” innocent victims of atrocities, on to whom, exactly, does this responsibility fall?</w:t>
      </w:r>
    </w:p>
    <w:p w:rsidR="000B197F" w:rsidRPr="00530CA6" w:rsidRDefault="000B197F" w:rsidP="000B197F">
      <w:pPr>
        <w:tabs>
          <w:tab w:val="left" w:pos="1740"/>
        </w:tabs>
        <w:ind w:left="720"/>
        <w:rPr>
          <w:sz w:val="23"/>
          <w:szCs w:val="23"/>
        </w:rPr>
      </w:pPr>
    </w:p>
    <w:p w:rsidR="000B197F" w:rsidRPr="00530CA6" w:rsidRDefault="000B197F" w:rsidP="000B197F">
      <w:pPr>
        <w:tabs>
          <w:tab w:val="left" w:pos="1740"/>
        </w:tabs>
        <w:rPr>
          <w:sz w:val="23"/>
          <w:szCs w:val="23"/>
        </w:rPr>
      </w:pPr>
      <w:r w:rsidRPr="00530CA6">
        <w:rPr>
          <w:sz w:val="23"/>
          <w:szCs w:val="23"/>
        </w:rPr>
        <w:lastRenderedPageBreak/>
        <w:t xml:space="preserve">These and other questions related to the ethics, law and politics of what has become known as humanitarian intervention, broadly defined, constitute the framework for this course. </w:t>
      </w:r>
    </w:p>
    <w:p w:rsidR="000B197F" w:rsidRPr="00530CA6" w:rsidRDefault="000B197F" w:rsidP="000B197F">
      <w:pPr>
        <w:tabs>
          <w:tab w:val="left" w:pos="1740"/>
        </w:tabs>
        <w:rPr>
          <w:sz w:val="23"/>
          <w:szCs w:val="23"/>
        </w:rPr>
      </w:pPr>
    </w:p>
    <w:p w:rsidR="000B197F" w:rsidRPr="00530CA6" w:rsidRDefault="000B197F" w:rsidP="000B197F">
      <w:pPr>
        <w:tabs>
          <w:tab w:val="left" w:pos="1740"/>
        </w:tabs>
        <w:rPr>
          <w:sz w:val="23"/>
          <w:szCs w:val="23"/>
        </w:rPr>
      </w:pPr>
      <w:r w:rsidRPr="00530CA6">
        <w:rPr>
          <w:sz w:val="23"/>
          <w:szCs w:val="23"/>
        </w:rPr>
        <w:t xml:space="preserve">My objectives do not include convincing you that a particular course of action in any given humanitarian crisis is appropriate, though you will almost certainly hear my views on a great number of crises, past and present. What I do hope to accomplish, however, is to get you to think about these matters more critically and in a multidimensional way. That is, I hope you will come to tolerate a certain unavoidable level of ambiguity as we grapple with both the problems and prospects of “doing good.” </w:t>
      </w:r>
    </w:p>
    <w:p w:rsidR="000B197F" w:rsidRPr="00530CA6" w:rsidRDefault="000B197F" w:rsidP="000B197F">
      <w:pPr>
        <w:rPr>
          <w:sz w:val="23"/>
          <w:szCs w:val="23"/>
        </w:rPr>
      </w:pPr>
    </w:p>
    <w:p w:rsidR="000B197F" w:rsidRPr="00530CA6" w:rsidRDefault="000B197F" w:rsidP="000B197F">
      <w:pPr>
        <w:rPr>
          <w:iCs/>
          <w:sz w:val="23"/>
          <w:szCs w:val="23"/>
        </w:rPr>
      </w:pPr>
      <w:r w:rsidRPr="00530CA6">
        <w:rPr>
          <w:i/>
          <w:iCs/>
          <w:sz w:val="23"/>
          <w:szCs w:val="23"/>
        </w:rPr>
        <w:t>Note to Conflict Studies Majors (and those considering the CFST major or minor</w:t>
      </w:r>
      <w:r w:rsidRPr="00530CA6">
        <w:rPr>
          <w:iCs/>
          <w:sz w:val="23"/>
          <w:szCs w:val="23"/>
        </w:rPr>
        <w:t>).</w:t>
      </w:r>
    </w:p>
    <w:p w:rsidR="000B197F" w:rsidRDefault="000B197F" w:rsidP="000B197F">
      <w:pPr>
        <w:rPr>
          <w:iCs/>
          <w:sz w:val="23"/>
          <w:szCs w:val="23"/>
        </w:rPr>
      </w:pPr>
      <w:r w:rsidRPr="00530CA6">
        <w:rPr>
          <w:iCs/>
          <w:sz w:val="23"/>
          <w:szCs w:val="23"/>
        </w:rPr>
        <w:t xml:space="preserve">Conflict lies at the very heart of this course. We examine conflicts of several kinds, however. Perhaps the most obvious are the grave civil conflicts – a truly ironic label – which often account for the complex humanitarian emergencies that trigger the call for humanitarian intervention. These wars often have, at least superficially, ethnic or ethno-nationalist overtones, but as we will see, that’s rarely an adequate explanation. We will want to explore the root or structural bases for these conflicts as well as their more manifest forms. We’re interested as well in prevention and rebuilding from these often devastating affairs. In addition conditions on the ground we investigate conflicts as they are imbedded in international law. These include conflicts between sovereignty and human rights, or the rights of people versus the rights of states. These structural parameters of the international system play out in various ways directly related to the capacity of actors in the international community to respond meaningfully to genocide and crimes against humanity.  </w:t>
      </w:r>
    </w:p>
    <w:p w:rsidR="000B197F" w:rsidRDefault="000B197F" w:rsidP="000B197F">
      <w:pPr>
        <w:rPr>
          <w:iCs/>
          <w:sz w:val="23"/>
          <w:szCs w:val="23"/>
        </w:rPr>
      </w:pPr>
    </w:p>
    <w:p w:rsidR="000B197F" w:rsidRPr="00530CA6" w:rsidRDefault="000B197F" w:rsidP="000B197F">
      <w:pPr>
        <w:rPr>
          <w:iCs/>
          <w:sz w:val="23"/>
          <w:szCs w:val="23"/>
        </w:rPr>
      </w:pPr>
    </w:p>
    <w:p w:rsidR="000B197F" w:rsidRDefault="000B197F" w:rsidP="000B197F">
      <w:pPr>
        <w:tabs>
          <w:tab w:val="left" w:pos="1740"/>
        </w:tabs>
        <w:jc w:val="center"/>
        <w:rPr>
          <w:b/>
          <w:sz w:val="23"/>
          <w:szCs w:val="23"/>
        </w:rPr>
      </w:pPr>
      <w:r w:rsidRPr="00530CA6">
        <w:rPr>
          <w:b/>
          <w:sz w:val="23"/>
          <w:szCs w:val="23"/>
        </w:rPr>
        <w:t>BOOKS FOR PURCHASE</w:t>
      </w:r>
    </w:p>
    <w:p w:rsidR="000B197F" w:rsidRPr="00530CA6" w:rsidRDefault="000B197F" w:rsidP="000B197F">
      <w:pPr>
        <w:tabs>
          <w:tab w:val="left" w:pos="1740"/>
        </w:tabs>
        <w:jc w:val="center"/>
        <w:rPr>
          <w:b/>
          <w:sz w:val="23"/>
          <w:szCs w:val="23"/>
        </w:rPr>
      </w:pPr>
    </w:p>
    <w:p w:rsidR="000B197F" w:rsidRPr="0089409C" w:rsidRDefault="000B197F" w:rsidP="000B197F">
      <w:pPr>
        <w:tabs>
          <w:tab w:val="left" w:pos="1740"/>
        </w:tabs>
        <w:rPr>
          <w:sz w:val="23"/>
          <w:szCs w:val="23"/>
        </w:rPr>
      </w:pPr>
      <w:r>
        <w:rPr>
          <w:sz w:val="23"/>
          <w:szCs w:val="23"/>
        </w:rPr>
        <w:t xml:space="preserve">Bellamy, Alex. 2009. </w:t>
      </w:r>
      <w:r>
        <w:rPr>
          <w:i/>
          <w:sz w:val="23"/>
          <w:szCs w:val="23"/>
        </w:rPr>
        <w:t>The Responsibility to Protect</w:t>
      </w:r>
      <w:r>
        <w:rPr>
          <w:sz w:val="23"/>
          <w:szCs w:val="23"/>
        </w:rPr>
        <w:t xml:space="preserve">, Cambridge: Polity Press. </w:t>
      </w:r>
    </w:p>
    <w:p w:rsidR="000B197F" w:rsidRPr="00530CA6" w:rsidRDefault="000B197F" w:rsidP="000B197F">
      <w:pPr>
        <w:tabs>
          <w:tab w:val="left" w:pos="1740"/>
        </w:tabs>
        <w:ind w:left="720" w:hanging="720"/>
        <w:rPr>
          <w:sz w:val="23"/>
          <w:szCs w:val="23"/>
        </w:rPr>
      </w:pPr>
      <w:r w:rsidRPr="00530CA6">
        <w:rPr>
          <w:sz w:val="23"/>
          <w:szCs w:val="23"/>
        </w:rPr>
        <w:t xml:space="preserve">Gourevitch, Philip. 1999. </w:t>
      </w:r>
      <w:r w:rsidRPr="00530CA6">
        <w:rPr>
          <w:i/>
          <w:sz w:val="23"/>
          <w:szCs w:val="23"/>
        </w:rPr>
        <w:t>We Wish to Inform You That Tomorrow We Will be Killed With Our Families. Stories from Rwanda.</w:t>
      </w:r>
      <w:r w:rsidRPr="00530CA6">
        <w:rPr>
          <w:sz w:val="23"/>
          <w:szCs w:val="23"/>
        </w:rPr>
        <w:t xml:space="preserve"> New York. Picador. </w:t>
      </w:r>
    </w:p>
    <w:p w:rsidR="000B197F" w:rsidRPr="00530CA6" w:rsidRDefault="000B197F" w:rsidP="000B197F">
      <w:pPr>
        <w:tabs>
          <w:tab w:val="left" w:pos="1740"/>
        </w:tabs>
        <w:ind w:left="720" w:hanging="720"/>
        <w:rPr>
          <w:sz w:val="23"/>
          <w:szCs w:val="23"/>
        </w:rPr>
      </w:pPr>
      <w:r>
        <w:rPr>
          <w:sz w:val="23"/>
          <w:szCs w:val="23"/>
        </w:rPr>
        <w:t>Weiss, Thomas G. 2011</w:t>
      </w:r>
      <w:r w:rsidRPr="00530CA6">
        <w:rPr>
          <w:sz w:val="23"/>
          <w:szCs w:val="23"/>
        </w:rPr>
        <w:t xml:space="preserve">. </w:t>
      </w:r>
      <w:r w:rsidRPr="00530CA6">
        <w:rPr>
          <w:i/>
          <w:sz w:val="23"/>
          <w:szCs w:val="23"/>
        </w:rPr>
        <w:t>Humanitarian Intervention.</w:t>
      </w:r>
      <w:r w:rsidRPr="00530CA6">
        <w:rPr>
          <w:sz w:val="23"/>
          <w:szCs w:val="23"/>
        </w:rPr>
        <w:t xml:space="preserve"> Cambridge. Polity Press. </w:t>
      </w:r>
    </w:p>
    <w:p w:rsidR="000B197F" w:rsidRDefault="000B197F" w:rsidP="000B197F">
      <w:pPr>
        <w:tabs>
          <w:tab w:val="left" w:pos="1740"/>
        </w:tabs>
        <w:ind w:left="720" w:hanging="720"/>
        <w:rPr>
          <w:sz w:val="23"/>
          <w:szCs w:val="23"/>
        </w:rPr>
      </w:pPr>
      <w:r w:rsidRPr="00530CA6">
        <w:rPr>
          <w:sz w:val="23"/>
          <w:szCs w:val="23"/>
        </w:rPr>
        <w:t xml:space="preserve">Wheeler, Nicholas J. 2000. </w:t>
      </w:r>
      <w:r w:rsidRPr="00530CA6">
        <w:rPr>
          <w:i/>
          <w:sz w:val="23"/>
          <w:szCs w:val="23"/>
        </w:rPr>
        <w:t>Saving Strangers. Humanitarian Intervention in International Society</w:t>
      </w:r>
      <w:r w:rsidRPr="00530CA6">
        <w:rPr>
          <w:sz w:val="23"/>
          <w:szCs w:val="23"/>
        </w:rPr>
        <w:t>. Oxford. Oxford University Press.</w:t>
      </w:r>
    </w:p>
    <w:p w:rsidR="000B197F" w:rsidRPr="0089409C" w:rsidRDefault="000B197F" w:rsidP="000B197F">
      <w:pPr>
        <w:tabs>
          <w:tab w:val="left" w:pos="1740"/>
        </w:tabs>
        <w:ind w:left="720" w:hanging="720"/>
        <w:rPr>
          <w:sz w:val="23"/>
          <w:szCs w:val="23"/>
        </w:rPr>
      </w:pPr>
      <w:r>
        <w:rPr>
          <w:sz w:val="23"/>
          <w:szCs w:val="23"/>
        </w:rPr>
        <w:t xml:space="preserve">Whitworth, Sandra. 2004. </w:t>
      </w:r>
      <w:r>
        <w:rPr>
          <w:i/>
          <w:sz w:val="23"/>
          <w:szCs w:val="23"/>
        </w:rPr>
        <w:t>Men, Militarism and UN Peacekeeping: A Gendered Analysis</w:t>
      </w:r>
      <w:r>
        <w:rPr>
          <w:sz w:val="23"/>
          <w:szCs w:val="23"/>
        </w:rPr>
        <w:t xml:space="preserve">, Boulder: Lynne Rienner Press. </w:t>
      </w:r>
    </w:p>
    <w:p w:rsidR="000B197F" w:rsidRPr="00530CA6" w:rsidRDefault="000B197F" w:rsidP="000B197F">
      <w:pPr>
        <w:tabs>
          <w:tab w:val="left" w:pos="1740"/>
        </w:tabs>
        <w:rPr>
          <w:sz w:val="23"/>
          <w:szCs w:val="23"/>
        </w:rPr>
      </w:pPr>
    </w:p>
    <w:p w:rsidR="000B197F" w:rsidRDefault="000B197F" w:rsidP="000B197F">
      <w:pPr>
        <w:tabs>
          <w:tab w:val="left" w:pos="1740"/>
        </w:tabs>
        <w:jc w:val="center"/>
        <w:rPr>
          <w:b/>
          <w:sz w:val="23"/>
          <w:szCs w:val="23"/>
        </w:rPr>
      </w:pPr>
    </w:p>
    <w:p w:rsidR="000B197F" w:rsidRPr="00530CA6" w:rsidRDefault="000B197F" w:rsidP="000B197F">
      <w:pPr>
        <w:tabs>
          <w:tab w:val="left" w:pos="1740"/>
        </w:tabs>
        <w:jc w:val="center"/>
        <w:rPr>
          <w:b/>
          <w:sz w:val="23"/>
          <w:szCs w:val="23"/>
        </w:rPr>
      </w:pPr>
      <w:r>
        <w:rPr>
          <w:b/>
          <w:sz w:val="23"/>
          <w:szCs w:val="23"/>
        </w:rPr>
        <w:br w:type="page"/>
      </w:r>
      <w:r w:rsidRPr="00530CA6">
        <w:rPr>
          <w:b/>
          <w:sz w:val="23"/>
          <w:szCs w:val="23"/>
        </w:rPr>
        <w:lastRenderedPageBreak/>
        <w:t>SCHEDULE OF TOPICS</w:t>
      </w:r>
    </w:p>
    <w:p w:rsidR="000B197F" w:rsidRDefault="000B197F"/>
    <w:p w:rsidR="000B197F" w:rsidRDefault="000B197F"/>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520"/>
        <w:gridCol w:w="5220"/>
        <w:gridCol w:w="2700"/>
      </w:tblGrid>
      <w:tr w:rsidR="000B197F" w:rsidRPr="007D1120">
        <w:tc>
          <w:tcPr>
            <w:tcW w:w="720" w:type="dxa"/>
          </w:tcPr>
          <w:p w:rsidR="000B197F" w:rsidRPr="007D1120" w:rsidRDefault="000B197F" w:rsidP="000B197F">
            <w:pPr>
              <w:jc w:val="center"/>
              <w:rPr>
                <w:b/>
                <w:sz w:val="23"/>
                <w:szCs w:val="23"/>
              </w:rPr>
            </w:pPr>
            <w:r w:rsidRPr="007D1120">
              <w:rPr>
                <w:b/>
                <w:sz w:val="23"/>
                <w:szCs w:val="23"/>
              </w:rPr>
              <w:t>Date</w:t>
            </w:r>
          </w:p>
        </w:tc>
        <w:tc>
          <w:tcPr>
            <w:tcW w:w="2520" w:type="dxa"/>
          </w:tcPr>
          <w:p w:rsidR="000B197F" w:rsidRPr="007D1120" w:rsidRDefault="000B197F" w:rsidP="000B197F">
            <w:pPr>
              <w:jc w:val="center"/>
              <w:rPr>
                <w:b/>
                <w:sz w:val="23"/>
                <w:szCs w:val="23"/>
              </w:rPr>
            </w:pPr>
            <w:r w:rsidRPr="007D1120">
              <w:rPr>
                <w:b/>
                <w:sz w:val="23"/>
                <w:szCs w:val="23"/>
              </w:rPr>
              <w:t>Topic</w:t>
            </w:r>
          </w:p>
        </w:tc>
        <w:tc>
          <w:tcPr>
            <w:tcW w:w="5220" w:type="dxa"/>
          </w:tcPr>
          <w:p w:rsidR="000B197F" w:rsidRPr="007D1120" w:rsidRDefault="000B197F" w:rsidP="000B197F">
            <w:pPr>
              <w:jc w:val="center"/>
              <w:rPr>
                <w:b/>
                <w:sz w:val="23"/>
                <w:szCs w:val="23"/>
              </w:rPr>
            </w:pPr>
            <w:r w:rsidRPr="007D1120">
              <w:rPr>
                <w:b/>
                <w:sz w:val="23"/>
                <w:szCs w:val="23"/>
              </w:rPr>
              <w:t>Reading</w:t>
            </w:r>
          </w:p>
        </w:tc>
        <w:tc>
          <w:tcPr>
            <w:tcW w:w="2700" w:type="dxa"/>
          </w:tcPr>
          <w:p w:rsidR="000B197F" w:rsidRPr="007D1120" w:rsidRDefault="000B197F" w:rsidP="000B197F">
            <w:pPr>
              <w:jc w:val="center"/>
              <w:rPr>
                <w:b/>
                <w:sz w:val="23"/>
                <w:szCs w:val="23"/>
              </w:rPr>
            </w:pPr>
            <w:r w:rsidRPr="007D1120">
              <w:rPr>
                <w:b/>
                <w:sz w:val="23"/>
                <w:szCs w:val="23"/>
              </w:rPr>
              <w:t>Notes</w:t>
            </w:r>
          </w:p>
        </w:tc>
      </w:tr>
      <w:tr w:rsidR="000B197F" w:rsidRPr="007D1120">
        <w:tc>
          <w:tcPr>
            <w:tcW w:w="720" w:type="dxa"/>
          </w:tcPr>
          <w:p w:rsidR="000B197F" w:rsidRDefault="000B197F" w:rsidP="000B197F">
            <w:r>
              <w:t>1/29</w:t>
            </w:r>
          </w:p>
        </w:tc>
        <w:tc>
          <w:tcPr>
            <w:tcW w:w="2520" w:type="dxa"/>
          </w:tcPr>
          <w:p w:rsidR="000B197F" w:rsidRPr="007D1120" w:rsidRDefault="000B197F" w:rsidP="000B197F">
            <w:pPr>
              <w:jc w:val="center"/>
              <w:rPr>
                <w:sz w:val="23"/>
                <w:szCs w:val="23"/>
              </w:rPr>
            </w:pPr>
            <w:r w:rsidRPr="007D1120">
              <w:rPr>
                <w:sz w:val="23"/>
                <w:szCs w:val="23"/>
              </w:rPr>
              <w:t>Genocide</w:t>
            </w:r>
          </w:p>
        </w:tc>
        <w:tc>
          <w:tcPr>
            <w:tcW w:w="5220" w:type="dxa"/>
          </w:tcPr>
          <w:p w:rsidR="000B197F" w:rsidRPr="007D1120" w:rsidRDefault="000B197F" w:rsidP="000B197F">
            <w:pPr>
              <w:rPr>
                <w:i/>
                <w:iCs/>
              </w:rPr>
            </w:pPr>
            <w:r w:rsidRPr="007D1120">
              <w:rPr>
                <w:i/>
                <w:iCs/>
              </w:rPr>
              <w:t>The Devil Came on Horseback</w:t>
            </w:r>
          </w:p>
        </w:tc>
        <w:tc>
          <w:tcPr>
            <w:tcW w:w="2700" w:type="dxa"/>
          </w:tcPr>
          <w:p w:rsidR="000B197F" w:rsidRPr="007D1120" w:rsidRDefault="000B197F" w:rsidP="000B197F">
            <w:pPr>
              <w:rPr>
                <w:color w:val="FF00FF"/>
                <w:sz w:val="23"/>
                <w:szCs w:val="23"/>
              </w:rPr>
            </w:pPr>
            <w:r w:rsidRPr="007D1120">
              <w:rPr>
                <w:color w:val="FF00FF"/>
                <w:sz w:val="23"/>
                <w:szCs w:val="23"/>
              </w:rPr>
              <w:t>Film</w:t>
            </w:r>
          </w:p>
        </w:tc>
      </w:tr>
      <w:tr w:rsidR="000B197F" w:rsidRPr="007D1120">
        <w:tc>
          <w:tcPr>
            <w:tcW w:w="720" w:type="dxa"/>
          </w:tcPr>
          <w:p w:rsidR="000B197F" w:rsidRPr="007D1120" w:rsidRDefault="000B197F" w:rsidP="000B197F">
            <w:pPr>
              <w:jc w:val="center"/>
              <w:rPr>
                <w:sz w:val="23"/>
                <w:szCs w:val="23"/>
              </w:rPr>
            </w:pPr>
            <w:r>
              <w:t>1/31</w:t>
            </w:r>
          </w:p>
        </w:tc>
        <w:tc>
          <w:tcPr>
            <w:tcW w:w="2520" w:type="dxa"/>
          </w:tcPr>
          <w:p w:rsidR="000B197F" w:rsidRPr="007D1120" w:rsidRDefault="000B197F" w:rsidP="000B197F">
            <w:pPr>
              <w:jc w:val="center"/>
              <w:rPr>
                <w:sz w:val="23"/>
                <w:szCs w:val="23"/>
              </w:rPr>
            </w:pPr>
            <w:r w:rsidRPr="007D1120">
              <w:rPr>
                <w:sz w:val="23"/>
                <w:szCs w:val="23"/>
              </w:rPr>
              <w:t>The Ethics of Assistance and the moral relevance of distance</w:t>
            </w:r>
          </w:p>
          <w:p w:rsidR="000B197F" w:rsidRPr="007D1120" w:rsidRDefault="000B197F" w:rsidP="000B197F">
            <w:pPr>
              <w:jc w:val="center"/>
              <w:rPr>
                <w:sz w:val="23"/>
                <w:szCs w:val="23"/>
              </w:rPr>
            </w:pPr>
          </w:p>
        </w:tc>
        <w:tc>
          <w:tcPr>
            <w:tcW w:w="5220" w:type="dxa"/>
          </w:tcPr>
          <w:p w:rsidR="000B197F" w:rsidRDefault="000B197F" w:rsidP="000B197F">
            <w:pPr>
              <w:ind w:left="288" w:hanging="288"/>
            </w:pPr>
            <w:r w:rsidRPr="00146ABA">
              <w:t>Singer, Peter. 2004. “Outsiders: our obligation to those beyond ou</w:t>
            </w:r>
            <w:r>
              <w:t>r borders”</w:t>
            </w:r>
          </w:p>
          <w:p w:rsidR="000B197F" w:rsidRDefault="000B197F" w:rsidP="000B197F">
            <w:pPr>
              <w:ind w:left="288" w:hanging="288"/>
            </w:pPr>
            <w:r w:rsidRPr="00146ABA">
              <w:t>Arthur, John. “Famine Relief and the Ideal Moral Code”</w:t>
            </w:r>
          </w:p>
          <w:p w:rsidR="000B197F" w:rsidRDefault="000B197F" w:rsidP="000B197F">
            <w:pPr>
              <w:ind w:left="288" w:hanging="288"/>
            </w:pPr>
            <w:r w:rsidRPr="00146ABA">
              <w:t>Kelly, Erin. 2004. “Human Rights as Foreign Policy Imperatives”</w:t>
            </w:r>
          </w:p>
          <w:p w:rsidR="000B197F" w:rsidRPr="007D1120" w:rsidRDefault="000B197F" w:rsidP="000B197F">
            <w:pPr>
              <w:ind w:left="720" w:hanging="720"/>
              <w:rPr>
                <w:color w:val="FF6600"/>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Pr="007D1120" w:rsidRDefault="000B197F" w:rsidP="000B197F">
            <w:pPr>
              <w:jc w:val="center"/>
              <w:rPr>
                <w:sz w:val="23"/>
                <w:szCs w:val="23"/>
              </w:rPr>
            </w:pPr>
            <w:r>
              <w:t>2/5</w:t>
            </w:r>
          </w:p>
        </w:tc>
        <w:tc>
          <w:tcPr>
            <w:tcW w:w="2520" w:type="dxa"/>
          </w:tcPr>
          <w:p w:rsidR="000B197F" w:rsidRPr="007D1120" w:rsidRDefault="000B197F" w:rsidP="000B197F">
            <w:pPr>
              <w:jc w:val="center"/>
              <w:rPr>
                <w:sz w:val="23"/>
                <w:szCs w:val="23"/>
              </w:rPr>
            </w:pPr>
            <w:r w:rsidRPr="007D1120">
              <w:rPr>
                <w:sz w:val="23"/>
                <w:szCs w:val="23"/>
              </w:rPr>
              <w:t xml:space="preserve">Textbook Case. Rwanda </w:t>
            </w:r>
          </w:p>
        </w:tc>
        <w:tc>
          <w:tcPr>
            <w:tcW w:w="5220" w:type="dxa"/>
          </w:tcPr>
          <w:p w:rsidR="000B197F" w:rsidRPr="007D1120" w:rsidRDefault="000B197F" w:rsidP="000B197F">
            <w:pPr>
              <w:ind w:left="288" w:hanging="288"/>
              <w:rPr>
                <w:i/>
                <w:sz w:val="23"/>
                <w:szCs w:val="23"/>
              </w:rPr>
            </w:pPr>
            <w:r w:rsidRPr="007D1120">
              <w:rPr>
                <w:sz w:val="23"/>
                <w:szCs w:val="23"/>
              </w:rPr>
              <w:t xml:space="preserve">Gourevitch. </w:t>
            </w:r>
            <w:r w:rsidRPr="007D1120">
              <w:rPr>
                <w:i/>
                <w:sz w:val="23"/>
                <w:szCs w:val="23"/>
              </w:rPr>
              <w:t>We Wish to Inform You that Tomorrow we will be Killed  with our Families</w:t>
            </w:r>
          </w:p>
          <w:p w:rsidR="000B197F" w:rsidRPr="007D1120" w:rsidRDefault="000B197F" w:rsidP="000B197F">
            <w:pPr>
              <w:ind w:left="720" w:hanging="720"/>
              <w:rPr>
                <w:i/>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Pr="007D1120" w:rsidRDefault="000B197F" w:rsidP="000B197F">
            <w:pPr>
              <w:jc w:val="center"/>
              <w:rPr>
                <w:sz w:val="23"/>
                <w:szCs w:val="23"/>
              </w:rPr>
            </w:pPr>
            <w:r>
              <w:t>2/7</w:t>
            </w:r>
          </w:p>
        </w:tc>
        <w:tc>
          <w:tcPr>
            <w:tcW w:w="2520" w:type="dxa"/>
          </w:tcPr>
          <w:p w:rsidR="000B197F" w:rsidRPr="007D1120" w:rsidRDefault="000B197F" w:rsidP="000B197F">
            <w:pPr>
              <w:jc w:val="center"/>
              <w:rPr>
                <w:sz w:val="23"/>
                <w:szCs w:val="23"/>
              </w:rPr>
            </w:pPr>
            <w:r w:rsidRPr="007D1120">
              <w:rPr>
                <w:sz w:val="23"/>
                <w:szCs w:val="23"/>
              </w:rPr>
              <w:t>Textbook Case. Rwanda (continued)</w:t>
            </w:r>
          </w:p>
        </w:tc>
        <w:tc>
          <w:tcPr>
            <w:tcW w:w="5220" w:type="dxa"/>
          </w:tcPr>
          <w:p w:rsidR="000B197F" w:rsidRPr="007D1120" w:rsidRDefault="000B197F" w:rsidP="000B197F">
            <w:pPr>
              <w:ind w:left="288" w:hanging="288"/>
              <w:rPr>
                <w:i/>
                <w:sz w:val="23"/>
                <w:szCs w:val="23"/>
              </w:rPr>
            </w:pPr>
            <w:r w:rsidRPr="007D1120">
              <w:rPr>
                <w:sz w:val="23"/>
                <w:szCs w:val="23"/>
              </w:rPr>
              <w:t xml:space="preserve">Gourevitch. </w:t>
            </w:r>
            <w:r w:rsidRPr="007D1120">
              <w:rPr>
                <w:i/>
                <w:sz w:val="23"/>
                <w:szCs w:val="23"/>
              </w:rPr>
              <w:t>We Wish to Inform You that Tomorrow we will be Killed  with our Families</w:t>
            </w:r>
          </w:p>
          <w:p w:rsidR="000B197F" w:rsidRPr="007D1120" w:rsidRDefault="000B197F" w:rsidP="000B197F">
            <w:pPr>
              <w:ind w:left="720" w:hanging="720"/>
              <w:rPr>
                <w:i/>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Pr="007D1120" w:rsidRDefault="000B197F" w:rsidP="000B197F">
            <w:pPr>
              <w:jc w:val="center"/>
              <w:rPr>
                <w:sz w:val="23"/>
                <w:szCs w:val="23"/>
              </w:rPr>
            </w:pPr>
            <w:r>
              <w:t>2/12</w:t>
            </w:r>
          </w:p>
        </w:tc>
        <w:tc>
          <w:tcPr>
            <w:tcW w:w="2520" w:type="dxa"/>
          </w:tcPr>
          <w:p w:rsidR="000B197F" w:rsidRPr="007D1120" w:rsidRDefault="000B197F" w:rsidP="000B197F">
            <w:pPr>
              <w:jc w:val="center"/>
              <w:rPr>
                <w:sz w:val="23"/>
                <w:szCs w:val="23"/>
              </w:rPr>
            </w:pPr>
            <w:r w:rsidRPr="007D1120">
              <w:rPr>
                <w:sz w:val="23"/>
                <w:szCs w:val="23"/>
              </w:rPr>
              <w:t>Introduction to concepts, issues and debates</w:t>
            </w:r>
          </w:p>
        </w:tc>
        <w:tc>
          <w:tcPr>
            <w:tcW w:w="5220" w:type="dxa"/>
          </w:tcPr>
          <w:p w:rsidR="000B197F" w:rsidRPr="007D1120" w:rsidRDefault="000B197F" w:rsidP="000B197F">
            <w:pPr>
              <w:ind w:left="720" w:hanging="720"/>
              <w:rPr>
                <w:sz w:val="23"/>
                <w:szCs w:val="23"/>
              </w:rPr>
            </w:pPr>
            <w:r w:rsidRPr="007D1120">
              <w:rPr>
                <w:sz w:val="23"/>
                <w:szCs w:val="23"/>
              </w:rPr>
              <w:t>Weiss. “Preface” and “Conceptual Building Blocks”</w:t>
            </w:r>
          </w:p>
          <w:p w:rsidR="000B197F" w:rsidRPr="00A15646" w:rsidRDefault="000B197F" w:rsidP="000B197F">
            <w:pPr>
              <w:ind w:left="720" w:hanging="720"/>
              <w:rPr>
                <w:sz w:val="23"/>
                <w:szCs w:val="23"/>
              </w:rPr>
            </w:pPr>
            <w:r w:rsidRPr="00A15646">
              <w:rPr>
                <w:sz w:val="23"/>
                <w:szCs w:val="23"/>
              </w:rPr>
              <w:t>Bellamy, chapter 1</w:t>
            </w:r>
          </w:p>
          <w:p w:rsidR="000B197F" w:rsidRPr="007D1120" w:rsidRDefault="000B197F" w:rsidP="000B197F">
            <w:pPr>
              <w:ind w:left="720" w:hanging="720"/>
              <w:rPr>
                <w:sz w:val="23"/>
                <w:szCs w:val="23"/>
              </w:rPr>
            </w:pPr>
            <w:r w:rsidRPr="007D1120">
              <w:rPr>
                <w:sz w:val="23"/>
                <w:szCs w:val="23"/>
              </w:rPr>
              <w:t>Bello. “Humanitarian Intervention. Evolution of a Dangerous Doctrine”</w:t>
            </w:r>
          </w:p>
        </w:tc>
        <w:tc>
          <w:tcPr>
            <w:tcW w:w="2700" w:type="dxa"/>
          </w:tcPr>
          <w:p w:rsidR="000B197F" w:rsidRPr="007D1120" w:rsidRDefault="000B197F" w:rsidP="000B197F">
            <w:pPr>
              <w:rPr>
                <w:sz w:val="23"/>
                <w:szCs w:val="23"/>
              </w:rPr>
            </w:pPr>
            <w:r>
              <w:rPr>
                <w:sz w:val="23"/>
                <w:szCs w:val="23"/>
              </w:rPr>
              <w:t>Too much break into two days?</w:t>
            </w:r>
          </w:p>
        </w:tc>
      </w:tr>
      <w:tr w:rsidR="000B197F" w:rsidRPr="007D1120">
        <w:tc>
          <w:tcPr>
            <w:tcW w:w="720" w:type="dxa"/>
          </w:tcPr>
          <w:p w:rsidR="000B197F" w:rsidRPr="007D1120" w:rsidRDefault="000B197F" w:rsidP="000B197F">
            <w:pPr>
              <w:jc w:val="center"/>
              <w:rPr>
                <w:sz w:val="23"/>
                <w:szCs w:val="23"/>
              </w:rPr>
            </w:pPr>
            <w:r>
              <w:rPr>
                <w:sz w:val="23"/>
                <w:szCs w:val="23"/>
              </w:rPr>
              <w:t>2/14</w:t>
            </w:r>
          </w:p>
        </w:tc>
        <w:tc>
          <w:tcPr>
            <w:tcW w:w="2520" w:type="dxa"/>
          </w:tcPr>
          <w:p w:rsidR="000B197F" w:rsidRPr="007D1120" w:rsidRDefault="000B197F" w:rsidP="000B197F">
            <w:pPr>
              <w:jc w:val="center"/>
              <w:rPr>
                <w:sz w:val="23"/>
                <w:szCs w:val="23"/>
              </w:rPr>
            </w:pPr>
            <w:r w:rsidRPr="007D1120">
              <w:rPr>
                <w:sz w:val="23"/>
                <w:szCs w:val="23"/>
              </w:rPr>
              <w:t xml:space="preserve">Intervention and International Law </w:t>
            </w:r>
          </w:p>
        </w:tc>
        <w:tc>
          <w:tcPr>
            <w:tcW w:w="5220" w:type="dxa"/>
          </w:tcPr>
          <w:p w:rsidR="000B197F" w:rsidRPr="007D1120" w:rsidRDefault="000B197F" w:rsidP="000B197F">
            <w:pPr>
              <w:ind w:left="288" w:hanging="288"/>
              <w:rPr>
                <w:sz w:val="23"/>
                <w:szCs w:val="23"/>
              </w:rPr>
            </w:pPr>
            <w:r w:rsidRPr="007D1120">
              <w:rPr>
                <w:sz w:val="23"/>
                <w:szCs w:val="23"/>
              </w:rPr>
              <w:t>Wheeler. “Introduction”</w:t>
            </w:r>
          </w:p>
          <w:p w:rsidR="000B197F" w:rsidRPr="007D1120" w:rsidRDefault="000B197F" w:rsidP="000B197F">
            <w:pPr>
              <w:ind w:left="288" w:hanging="288"/>
              <w:rPr>
                <w:sz w:val="23"/>
                <w:szCs w:val="23"/>
              </w:rPr>
            </w:pPr>
            <w:r w:rsidRPr="007D1120">
              <w:rPr>
                <w:sz w:val="23"/>
                <w:szCs w:val="23"/>
              </w:rPr>
              <w:t>Rogers. “Humanitarian Intervention and International Law”</w:t>
            </w:r>
          </w:p>
          <w:p w:rsidR="000B197F" w:rsidRPr="007D1120" w:rsidRDefault="000B197F" w:rsidP="000B197F">
            <w:pPr>
              <w:ind w:left="288" w:hanging="288"/>
              <w:rPr>
                <w:sz w:val="23"/>
                <w:szCs w:val="23"/>
              </w:rPr>
            </w:pPr>
            <w:r w:rsidRPr="007D1120">
              <w:rPr>
                <w:sz w:val="23"/>
                <w:szCs w:val="23"/>
              </w:rPr>
              <w:t>Malone. Introduction: Seeking Reconciliation of Self Determination, Territorial Integrity, and Humanitarian Intervention”</w:t>
            </w:r>
          </w:p>
        </w:tc>
        <w:tc>
          <w:tcPr>
            <w:tcW w:w="2700" w:type="dxa"/>
          </w:tcPr>
          <w:p w:rsidR="000B197F" w:rsidRPr="007D1120" w:rsidRDefault="000B197F" w:rsidP="000B197F">
            <w:pPr>
              <w:rPr>
                <w:color w:val="FF0000"/>
                <w:sz w:val="23"/>
                <w:szCs w:val="23"/>
              </w:rPr>
            </w:pPr>
            <w:r w:rsidRPr="007D1120">
              <w:rPr>
                <w:sz w:val="23"/>
                <w:szCs w:val="23"/>
              </w:rPr>
              <w:t xml:space="preserve">See relevant legal </w:t>
            </w:r>
            <w:hyperlink r:id="rId9" w:history="1">
              <w:r w:rsidRPr="007D1120">
                <w:rPr>
                  <w:rStyle w:val="Hyperlink"/>
                  <w:sz w:val="23"/>
                  <w:szCs w:val="23"/>
                </w:rPr>
                <w:t>(UN)</w:t>
              </w:r>
            </w:hyperlink>
            <w:r w:rsidRPr="007D1120">
              <w:rPr>
                <w:sz w:val="23"/>
                <w:szCs w:val="23"/>
              </w:rPr>
              <w:t xml:space="preserve"> </w:t>
            </w:r>
            <w:r>
              <w:rPr>
                <w:sz w:val="23"/>
                <w:szCs w:val="23"/>
              </w:rPr>
              <w:t xml:space="preserve">documents </w:t>
            </w:r>
            <w:r w:rsidRPr="007D1120">
              <w:rPr>
                <w:sz w:val="23"/>
                <w:szCs w:val="23"/>
              </w:rPr>
              <w:t>on Moodle</w:t>
            </w:r>
          </w:p>
        </w:tc>
      </w:tr>
      <w:tr w:rsidR="000B197F" w:rsidRPr="007D1120">
        <w:tc>
          <w:tcPr>
            <w:tcW w:w="720" w:type="dxa"/>
          </w:tcPr>
          <w:p w:rsidR="000B197F" w:rsidRPr="007D1120" w:rsidRDefault="000B197F" w:rsidP="000B197F">
            <w:pPr>
              <w:jc w:val="center"/>
              <w:rPr>
                <w:sz w:val="23"/>
                <w:szCs w:val="23"/>
              </w:rPr>
            </w:pPr>
            <w:r>
              <w:t>2/19</w:t>
            </w:r>
          </w:p>
        </w:tc>
        <w:tc>
          <w:tcPr>
            <w:tcW w:w="2520" w:type="dxa"/>
          </w:tcPr>
          <w:p w:rsidR="000B197F" w:rsidRPr="007D1120" w:rsidRDefault="000B197F" w:rsidP="000B197F">
            <w:pPr>
              <w:jc w:val="center"/>
              <w:rPr>
                <w:sz w:val="23"/>
                <w:szCs w:val="23"/>
              </w:rPr>
            </w:pPr>
            <w:r w:rsidRPr="007D1120">
              <w:rPr>
                <w:sz w:val="23"/>
                <w:szCs w:val="23"/>
              </w:rPr>
              <w:t>Old and New Interventionisms</w:t>
            </w:r>
          </w:p>
        </w:tc>
        <w:tc>
          <w:tcPr>
            <w:tcW w:w="5220" w:type="dxa"/>
          </w:tcPr>
          <w:p w:rsidR="000B197F" w:rsidRPr="007D1120" w:rsidRDefault="000B197F" w:rsidP="000B197F">
            <w:pPr>
              <w:ind w:left="720" w:hanging="720"/>
              <w:rPr>
                <w:sz w:val="23"/>
                <w:szCs w:val="23"/>
              </w:rPr>
            </w:pPr>
            <w:r w:rsidRPr="007D1120">
              <w:rPr>
                <w:sz w:val="23"/>
                <w:szCs w:val="23"/>
              </w:rPr>
              <w:t xml:space="preserve">Weiss. chapters 2,3 </w:t>
            </w:r>
          </w:p>
        </w:tc>
        <w:tc>
          <w:tcPr>
            <w:tcW w:w="2700" w:type="dxa"/>
          </w:tcPr>
          <w:p w:rsidR="000B197F" w:rsidRPr="007D1120" w:rsidRDefault="000B197F" w:rsidP="000B197F">
            <w:pPr>
              <w:rPr>
                <w:sz w:val="23"/>
                <w:szCs w:val="23"/>
              </w:rPr>
            </w:pPr>
          </w:p>
        </w:tc>
      </w:tr>
      <w:tr w:rsidR="000B197F" w:rsidRPr="007D1120">
        <w:tc>
          <w:tcPr>
            <w:tcW w:w="720" w:type="dxa"/>
          </w:tcPr>
          <w:p w:rsidR="000B197F" w:rsidRPr="007D1120" w:rsidRDefault="000B197F" w:rsidP="000B197F">
            <w:pPr>
              <w:jc w:val="center"/>
              <w:rPr>
                <w:sz w:val="23"/>
                <w:szCs w:val="23"/>
              </w:rPr>
            </w:pPr>
            <w:r>
              <w:t>2/21</w:t>
            </w:r>
          </w:p>
        </w:tc>
        <w:tc>
          <w:tcPr>
            <w:tcW w:w="2520" w:type="dxa"/>
          </w:tcPr>
          <w:p w:rsidR="000B197F" w:rsidRPr="00A15646" w:rsidRDefault="000B197F" w:rsidP="000B197F">
            <w:pPr>
              <w:jc w:val="center"/>
              <w:rPr>
                <w:color w:val="FF0000"/>
                <w:sz w:val="23"/>
                <w:szCs w:val="23"/>
              </w:rPr>
            </w:pPr>
            <w:r w:rsidRPr="00A15646">
              <w:rPr>
                <w:color w:val="FF0000"/>
                <w:sz w:val="23"/>
                <w:szCs w:val="23"/>
              </w:rPr>
              <w:t>Test 1</w:t>
            </w:r>
          </w:p>
        </w:tc>
        <w:tc>
          <w:tcPr>
            <w:tcW w:w="5220" w:type="dxa"/>
          </w:tcPr>
          <w:p w:rsidR="000B197F" w:rsidRPr="007D1120" w:rsidRDefault="000B197F" w:rsidP="000B197F">
            <w:pPr>
              <w:ind w:left="720" w:hanging="720"/>
              <w:rPr>
                <w:sz w:val="23"/>
                <w:szCs w:val="23"/>
              </w:rPr>
            </w:pPr>
          </w:p>
        </w:tc>
        <w:tc>
          <w:tcPr>
            <w:tcW w:w="2700" w:type="dxa"/>
          </w:tcPr>
          <w:p w:rsidR="000B197F" w:rsidRPr="007D1120" w:rsidRDefault="000B197F" w:rsidP="000B197F">
            <w:pPr>
              <w:rPr>
                <w:color w:val="FF0000"/>
                <w:sz w:val="23"/>
                <w:szCs w:val="23"/>
              </w:rPr>
            </w:pPr>
          </w:p>
        </w:tc>
      </w:tr>
      <w:tr w:rsidR="000B197F" w:rsidRPr="007D1120">
        <w:tc>
          <w:tcPr>
            <w:tcW w:w="720" w:type="dxa"/>
          </w:tcPr>
          <w:p w:rsidR="000B197F" w:rsidRPr="007D1120" w:rsidRDefault="000B197F" w:rsidP="000B197F">
            <w:pPr>
              <w:jc w:val="center"/>
              <w:rPr>
                <w:sz w:val="23"/>
                <w:szCs w:val="23"/>
              </w:rPr>
            </w:pPr>
            <w:r>
              <w:t>2/26</w:t>
            </w:r>
          </w:p>
        </w:tc>
        <w:tc>
          <w:tcPr>
            <w:tcW w:w="2520" w:type="dxa"/>
          </w:tcPr>
          <w:p w:rsidR="000B197F" w:rsidRPr="007D1120" w:rsidRDefault="000B197F" w:rsidP="000B197F">
            <w:pPr>
              <w:jc w:val="center"/>
              <w:rPr>
                <w:sz w:val="23"/>
                <w:szCs w:val="23"/>
              </w:rPr>
            </w:pPr>
            <w:r w:rsidRPr="007D1120">
              <w:rPr>
                <w:sz w:val="23"/>
                <w:szCs w:val="23"/>
              </w:rPr>
              <w:t>Intervention and International Relations</w:t>
            </w:r>
          </w:p>
        </w:tc>
        <w:tc>
          <w:tcPr>
            <w:tcW w:w="5220" w:type="dxa"/>
          </w:tcPr>
          <w:p w:rsidR="000B197F" w:rsidRPr="007D1120" w:rsidRDefault="000B197F" w:rsidP="000B197F">
            <w:pPr>
              <w:ind w:left="288" w:hanging="288"/>
              <w:rPr>
                <w:sz w:val="23"/>
                <w:szCs w:val="23"/>
              </w:rPr>
            </w:pPr>
            <w:r w:rsidRPr="007D1120">
              <w:rPr>
                <w:sz w:val="23"/>
                <w:szCs w:val="23"/>
              </w:rPr>
              <w:t>Wheeler. “Humanitarian Intervention and International Society”</w:t>
            </w:r>
          </w:p>
          <w:p w:rsidR="000B197F" w:rsidRPr="007D1120" w:rsidRDefault="000B197F" w:rsidP="000B197F">
            <w:pPr>
              <w:ind w:left="288" w:hanging="288"/>
              <w:rPr>
                <w:sz w:val="23"/>
                <w:szCs w:val="23"/>
              </w:rPr>
            </w:pPr>
            <w:r w:rsidRPr="007D1120">
              <w:rPr>
                <w:sz w:val="23"/>
                <w:szCs w:val="23"/>
              </w:rPr>
              <w:t>Wheeler. Chapter 2</w:t>
            </w:r>
          </w:p>
          <w:p w:rsidR="000B197F" w:rsidRPr="007D1120" w:rsidRDefault="000B197F" w:rsidP="000B197F">
            <w:pPr>
              <w:ind w:left="288" w:hanging="288"/>
              <w:rPr>
                <w:sz w:val="23"/>
                <w:szCs w:val="23"/>
              </w:rPr>
            </w:pPr>
            <w:r w:rsidRPr="007D1120">
              <w:rPr>
                <w:sz w:val="23"/>
                <w:szCs w:val="23"/>
              </w:rPr>
              <w:t>Chandler</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2/28</w:t>
            </w:r>
          </w:p>
        </w:tc>
        <w:tc>
          <w:tcPr>
            <w:tcW w:w="2520" w:type="dxa"/>
          </w:tcPr>
          <w:p w:rsidR="000B197F" w:rsidRPr="007D1120" w:rsidRDefault="000B197F" w:rsidP="000B197F">
            <w:pPr>
              <w:jc w:val="center"/>
              <w:rPr>
                <w:sz w:val="23"/>
                <w:szCs w:val="23"/>
              </w:rPr>
            </w:pPr>
            <w:r w:rsidRPr="007D1120">
              <w:rPr>
                <w:sz w:val="23"/>
                <w:szCs w:val="23"/>
              </w:rPr>
              <w:t>Intervention during the Cold War</w:t>
            </w:r>
          </w:p>
        </w:tc>
        <w:tc>
          <w:tcPr>
            <w:tcW w:w="5220" w:type="dxa"/>
          </w:tcPr>
          <w:p w:rsidR="000B197F" w:rsidRPr="007D1120" w:rsidRDefault="000B197F" w:rsidP="000B197F">
            <w:pPr>
              <w:ind w:left="720" w:hanging="720"/>
              <w:rPr>
                <w:sz w:val="23"/>
                <w:szCs w:val="23"/>
              </w:rPr>
            </w:pPr>
            <w:r w:rsidRPr="007D1120">
              <w:rPr>
                <w:sz w:val="23"/>
                <w:szCs w:val="23"/>
              </w:rPr>
              <w:t>Wheeler. Chapters 3,4</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3/5</w:t>
            </w:r>
          </w:p>
        </w:tc>
        <w:tc>
          <w:tcPr>
            <w:tcW w:w="2520" w:type="dxa"/>
          </w:tcPr>
          <w:p w:rsidR="000B197F" w:rsidRPr="007D1120" w:rsidRDefault="000B197F" w:rsidP="000B197F">
            <w:pPr>
              <w:jc w:val="center"/>
              <w:rPr>
                <w:sz w:val="23"/>
                <w:szCs w:val="23"/>
              </w:rPr>
            </w:pPr>
            <w:r w:rsidRPr="007D1120">
              <w:rPr>
                <w:sz w:val="23"/>
                <w:szCs w:val="23"/>
              </w:rPr>
              <w:t>A Question of Ethics.Revisited</w:t>
            </w:r>
          </w:p>
        </w:tc>
        <w:tc>
          <w:tcPr>
            <w:tcW w:w="5220" w:type="dxa"/>
          </w:tcPr>
          <w:p w:rsidR="000B197F" w:rsidRPr="007D1120" w:rsidRDefault="000B197F" w:rsidP="000B197F">
            <w:pPr>
              <w:ind w:left="288" w:hanging="288"/>
              <w:rPr>
                <w:sz w:val="23"/>
                <w:szCs w:val="23"/>
              </w:rPr>
            </w:pPr>
            <w:r w:rsidRPr="007D1120">
              <w:rPr>
                <w:sz w:val="23"/>
                <w:szCs w:val="23"/>
              </w:rPr>
              <w:t>Orford. “Watching East Timor”</w:t>
            </w:r>
          </w:p>
          <w:p w:rsidR="000B197F" w:rsidRPr="007D1120" w:rsidRDefault="000B197F" w:rsidP="000B197F">
            <w:pPr>
              <w:ind w:left="288" w:hanging="288"/>
              <w:rPr>
                <w:sz w:val="23"/>
                <w:szCs w:val="23"/>
              </w:rPr>
            </w:pPr>
            <w:r w:rsidRPr="007D1120">
              <w:rPr>
                <w:sz w:val="23"/>
                <w:szCs w:val="23"/>
              </w:rPr>
              <w:t>Nardin. “The Moral Basis of Humanitarian Intervention”</w:t>
            </w:r>
          </w:p>
          <w:p w:rsidR="000B197F" w:rsidRPr="007D1120" w:rsidRDefault="000B197F" w:rsidP="000B197F">
            <w:pPr>
              <w:ind w:left="288" w:hanging="288"/>
              <w:rPr>
                <w:sz w:val="23"/>
                <w:szCs w:val="23"/>
              </w:rPr>
            </w:pPr>
            <w:r w:rsidRPr="007D1120">
              <w:rPr>
                <w:sz w:val="23"/>
                <w:szCs w:val="23"/>
              </w:rPr>
              <w:t>Bittner. “Humanitarian Interventions are Wrong”</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3/7</w:t>
            </w:r>
          </w:p>
        </w:tc>
        <w:tc>
          <w:tcPr>
            <w:tcW w:w="2520" w:type="dxa"/>
          </w:tcPr>
          <w:p w:rsidR="000B197F" w:rsidRPr="007D1120" w:rsidRDefault="000B197F" w:rsidP="000B197F">
            <w:pPr>
              <w:jc w:val="center"/>
              <w:rPr>
                <w:sz w:val="23"/>
                <w:szCs w:val="23"/>
              </w:rPr>
            </w:pPr>
            <w:r w:rsidRPr="007D1120">
              <w:rPr>
                <w:sz w:val="23"/>
                <w:szCs w:val="23"/>
              </w:rPr>
              <w:t>Blackhawk Down</w:t>
            </w:r>
          </w:p>
        </w:tc>
        <w:tc>
          <w:tcPr>
            <w:tcW w:w="5220" w:type="dxa"/>
          </w:tcPr>
          <w:p w:rsidR="000B197F" w:rsidRPr="007D1120" w:rsidRDefault="000B197F" w:rsidP="000B197F">
            <w:pPr>
              <w:ind w:left="720" w:hanging="720"/>
              <w:rPr>
                <w:sz w:val="23"/>
                <w:szCs w:val="23"/>
              </w:rPr>
            </w:pPr>
            <w:r w:rsidRPr="007D1120">
              <w:rPr>
                <w:sz w:val="23"/>
                <w:szCs w:val="23"/>
              </w:rPr>
              <w:t>Wheeler. chapter 6</w:t>
            </w:r>
          </w:p>
          <w:p w:rsidR="000B197F" w:rsidRPr="007D1120" w:rsidRDefault="000B197F" w:rsidP="000B197F">
            <w:pPr>
              <w:ind w:left="720" w:hanging="720"/>
              <w:rPr>
                <w:sz w:val="23"/>
                <w:szCs w:val="23"/>
              </w:rPr>
            </w:pPr>
          </w:p>
        </w:tc>
        <w:tc>
          <w:tcPr>
            <w:tcW w:w="2700" w:type="dxa"/>
          </w:tcPr>
          <w:p w:rsidR="000B197F" w:rsidRPr="007D1120" w:rsidRDefault="000B197F" w:rsidP="000B197F">
            <w:pPr>
              <w:rPr>
                <w:color w:val="FF0000"/>
                <w:sz w:val="23"/>
                <w:szCs w:val="23"/>
              </w:rPr>
            </w:pPr>
          </w:p>
        </w:tc>
      </w:tr>
      <w:tr w:rsidR="000B197F" w:rsidRPr="007D1120">
        <w:tc>
          <w:tcPr>
            <w:tcW w:w="720" w:type="dxa"/>
          </w:tcPr>
          <w:p w:rsidR="000B197F" w:rsidRDefault="000B197F" w:rsidP="000B197F">
            <w:r>
              <w:t>3/12</w:t>
            </w:r>
          </w:p>
        </w:tc>
        <w:tc>
          <w:tcPr>
            <w:tcW w:w="2520" w:type="dxa"/>
          </w:tcPr>
          <w:p w:rsidR="000B197F" w:rsidRPr="007D1120" w:rsidRDefault="000B197F" w:rsidP="000B197F">
            <w:pPr>
              <w:jc w:val="center"/>
              <w:rPr>
                <w:sz w:val="23"/>
                <w:szCs w:val="23"/>
              </w:rPr>
            </w:pPr>
            <w:r w:rsidRPr="007D1120">
              <w:rPr>
                <w:sz w:val="23"/>
                <w:szCs w:val="23"/>
              </w:rPr>
              <w:t>Rwanda Revisited</w:t>
            </w:r>
          </w:p>
        </w:tc>
        <w:tc>
          <w:tcPr>
            <w:tcW w:w="5220" w:type="dxa"/>
          </w:tcPr>
          <w:p w:rsidR="000B197F" w:rsidRPr="007D1120" w:rsidRDefault="000B197F" w:rsidP="000B197F">
            <w:pPr>
              <w:ind w:left="720" w:hanging="720"/>
              <w:rPr>
                <w:sz w:val="23"/>
                <w:szCs w:val="23"/>
              </w:rPr>
            </w:pPr>
            <w:r>
              <w:rPr>
                <w:sz w:val="23"/>
                <w:szCs w:val="23"/>
              </w:rPr>
              <w:t>Wheeler. chapter 7</w:t>
            </w:r>
          </w:p>
          <w:p w:rsidR="000B197F" w:rsidRPr="007D1120" w:rsidRDefault="000B197F" w:rsidP="000B197F">
            <w:pPr>
              <w:ind w:left="720" w:hanging="720"/>
              <w:rPr>
                <w:sz w:val="23"/>
                <w:szCs w:val="23"/>
              </w:rPr>
            </w:pPr>
            <w:r w:rsidRPr="007D1120">
              <w:rPr>
                <w:sz w:val="23"/>
                <w:szCs w:val="23"/>
              </w:rPr>
              <w:t>Wheeler. Chapter 7</w:t>
            </w:r>
          </w:p>
          <w:p w:rsidR="000B197F" w:rsidRPr="007D1120" w:rsidRDefault="000B197F" w:rsidP="000B197F">
            <w:pPr>
              <w:ind w:left="720" w:hanging="720"/>
              <w:rPr>
                <w:sz w:val="23"/>
                <w:szCs w:val="23"/>
              </w:rPr>
            </w:pPr>
            <w:r w:rsidRPr="007D1120">
              <w:rPr>
                <w:sz w:val="23"/>
                <w:szCs w:val="23"/>
              </w:rPr>
              <w:t>Barnett. “Bureaucratizing the Duty to Aid”</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3/14</w:t>
            </w:r>
          </w:p>
        </w:tc>
        <w:tc>
          <w:tcPr>
            <w:tcW w:w="2520" w:type="dxa"/>
          </w:tcPr>
          <w:p w:rsidR="000B197F" w:rsidRPr="007D1120" w:rsidRDefault="000B197F" w:rsidP="000B197F">
            <w:pPr>
              <w:jc w:val="center"/>
              <w:rPr>
                <w:sz w:val="23"/>
                <w:szCs w:val="23"/>
              </w:rPr>
            </w:pPr>
            <w:r w:rsidRPr="007D1120">
              <w:rPr>
                <w:sz w:val="23"/>
                <w:szCs w:val="23"/>
              </w:rPr>
              <w:t>Rwanda Revisited</w:t>
            </w:r>
          </w:p>
        </w:tc>
        <w:tc>
          <w:tcPr>
            <w:tcW w:w="5220" w:type="dxa"/>
          </w:tcPr>
          <w:p w:rsidR="000B197F" w:rsidRPr="007D1120" w:rsidRDefault="000B197F" w:rsidP="000B197F">
            <w:pPr>
              <w:ind w:left="720" w:hanging="720"/>
              <w:rPr>
                <w:sz w:val="23"/>
                <w:szCs w:val="23"/>
              </w:rPr>
            </w:pPr>
            <w:r w:rsidRPr="007D1120">
              <w:rPr>
                <w:sz w:val="23"/>
                <w:szCs w:val="23"/>
              </w:rPr>
              <w:t>Kuperman. “Rwanda in Retrospect”</w:t>
            </w:r>
          </w:p>
          <w:p w:rsidR="000B197F" w:rsidRPr="007D1120" w:rsidRDefault="000B197F" w:rsidP="000B197F">
            <w:pPr>
              <w:ind w:left="720" w:hanging="720"/>
              <w:rPr>
                <w:sz w:val="23"/>
                <w:szCs w:val="23"/>
              </w:rPr>
            </w:pPr>
            <w:r w:rsidRPr="007D1120">
              <w:rPr>
                <w:sz w:val="23"/>
                <w:szCs w:val="23"/>
              </w:rPr>
              <w:t>Rieff. “An Age of Genocide.”</w:t>
            </w:r>
          </w:p>
        </w:tc>
        <w:tc>
          <w:tcPr>
            <w:tcW w:w="2700" w:type="dxa"/>
          </w:tcPr>
          <w:p w:rsidR="000B197F" w:rsidRPr="007D1120" w:rsidRDefault="000B197F" w:rsidP="000B197F">
            <w:pPr>
              <w:rPr>
                <w:color w:val="FF0000"/>
                <w:sz w:val="23"/>
                <w:szCs w:val="23"/>
              </w:rPr>
            </w:pPr>
          </w:p>
        </w:tc>
      </w:tr>
      <w:tr w:rsidR="000B197F" w:rsidRPr="007D1120">
        <w:tc>
          <w:tcPr>
            <w:tcW w:w="720" w:type="dxa"/>
          </w:tcPr>
          <w:p w:rsidR="000B197F" w:rsidRDefault="000B197F" w:rsidP="000B197F">
            <w:r>
              <w:t>3/19</w:t>
            </w:r>
          </w:p>
        </w:tc>
        <w:tc>
          <w:tcPr>
            <w:tcW w:w="2520" w:type="dxa"/>
          </w:tcPr>
          <w:p w:rsidR="000B197F" w:rsidRPr="00A15646" w:rsidRDefault="000B197F" w:rsidP="000B197F">
            <w:pPr>
              <w:jc w:val="center"/>
              <w:rPr>
                <w:color w:val="FF0000"/>
                <w:sz w:val="23"/>
                <w:szCs w:val="23"/>
              </w:rPr>
            </w:pPr>
            <w:r>
              <w:rPr>
                <w:sz w:val="23"/>
                <w:szCs w:val="23"/>
              </w:rPr>
              <w:t>UN Security Council and the Veil of Ignorance</w:t>
            </w:r>
          </w:p>
        </w:tc>
        <w:tc>
          <w:tcPr>
            <w:tcW w:w="5220" w:type="dxa"/>
          </w:tcPr>
          <w:p w:rsidR="000B197F" w:rsidRPr="007D1120" w:rsidRDefault="000B197F" w:rsidP="000B197F">
            <w:pPr>
              <w:ind w:left="720" w:hanging="720"/>
              <w:rPr>
                <w:sz w:val="23"/>
                <w:szCs w:val="23"/>
              </w:rPr>
            </w:pPr>
            <w:r w:rsidRPr="007D1120">
              <w:rPr>
                <w:sz w:val="23"/>
                <w:szCs w:val="23"/>
              </w:rPr>
              <w:t>Simulation</w:t>
            </w:r>
          </w:p>
        </w:tc>
        <w:tc>
          <w:tcPr>
            <w:tcW w:w="2700" w:type="dxa"/>
          </w:tcPr>
          <w:p w:rsidR="000B197F" w:rsidRPr="007D1120" w:rsidRDefault="000B197F" w:rsidP="000B197F">
            <w:pPr>
              <w:rPr>
                <w:sz w:val="23"/>
                <w:szCs w:val="23"/>
              </w:rPr>
            </w:pPr>
            <w:r>
              <w:rPr>
                <w:sz w:val="23"/>
                <w:szCs w:val="23"/>
              </w:rPr>
              <w:t>Syria Synopsis due (1-2 pages)</w:t>
            </w:r>
          </w:p>
        </w:tc>
      </w:tr>
      <w:tr w:rsidR="000B197F" w:rsidRPr="007D1120">
        <w:tc>
          <w:tcPr>
            <w:tcW w:w="720" w:type="dxa"/>
          </w:tcPr>
          <w:p w:rsidR="000B197F" w:rsidRDefault="000B197F" w:rsidP="000B197F">
            <w:r>
              <w:t>3/21</w:t>
            </w:r>
          </w:p>
        </w:tc>
        <w:tc>
          <w:tcPr>
            <w:tcW w:w="2520" w:type="dxa"/>
          </w:tcPr>
          <w:p w:rsidR="000B197F" w:rsidRPr="007D1120" w:rsidRDefault="000B197F" w:rsidP="000B197F">
            <w:pPr>
              <w:jc w:val="center"/>
              <w:rPr>
                <w:sz w:val="23"/>
                <w:szCs w:val="23"/>
              </w:rPr>
            </w:pPr>
            <w:r w:rsidRPr="007D1120">
              <w:rPr>
                <w:sz w:val="23"/>
                <w:szCs w:val="23"/>
              </w:rPr>
              <w:t>R2P. A New Norm?</w:t>
            </w:r>
          </w:p>
        </w:tc>
        <w:tc>
          <w:tcPr>
            <w:tcW w:w="5220" w:type="dxa"/>
          </w:tcPr>
          <w:p w:rsidR="000B197F" w:rsidRPr="00A15646" w:rsidRDefault="000B197F" w:rsidP="000B197F">
            <w:pPr>
              <w:ind w:left="720" w:hanging="720"/>
              <w:rPr>
                <w:sz w:val="23"/>
                <w:szCs w:val="23"/>
              </w:rPr>
            </w:pPr>
            <w:r w:rsidRPr="00A15646">
              <w:rPr>
                <w:sz w:val="23"/>
                <w:szCs w:val="23"/>
              </w:rPr>
              <w:t>Weiss. chapter 4</w:t>
            </w:r>
          </w:p>
          <w:p w:rsidR="000B197F" w:rsidRPr="007D1120" w:rsidRDefault="000B197F" w:rsidP="000B197F">
            <w:pPr>
              <w:ind w:left="720" w:hanging="720"/>
              <w:rPr>
                <w:sz w:val="23"/>
                <w:szCs w:val="23"/>
              </w:rPr>
            </w:pPr>
            <w:r w:rsidRPr="00A15646">
              <w:rPr>
                <w:sz w:val="23"/>
                <w:szCs w:val="23"/>
              </w:rPr>
              <w:t>Bellamy chapter 2, 3</w:t>
            </w:r>
          </w:p>
          <w:p w:rsidR="000B197F" w:rsidRPr="007D1120" w:rsidRDefault="000B197F" w:rsidP="000B197F">
            <w:pPr>
              <w:ind w:left="720" w:hanging="720"/>
              <w:jc w:val="center"/>
              <w:rPr>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4/2</w:t>
            </w:r>
          </w:p>
        </w:tc>
        <w:tc>
          <w:tcPr>
            <w:tcW w:w="2520" w:type="dxa"/>
          </w:tcPr>
          <w:p w:rsidR="000B197F" w:rsidRPr="007D1120" w:rsidRDefault="000B197F" w:rsidP="000B197F">
            <w:pPr>
              <w:jc w:val="center"/>
              <w:rPr>
                <w:sz w:val="23"/>
                <w:szCs w:val="23"/>
              </w:rPr>
            </w:pPr>
            <w:r w:rsidRPr="007D1120">
              <w:rPr>
                <w:sz w:val="23"/>
                <w:szCs w:val="23"/>
              </w:rPr>
              <w:t>R2P Continued</w:t>
            </w:r>
          </w:p>
        </w:tc>
        <w:tc>
          <w:tcPr>
            <w:tcW w:w="5220" w:type="dxa"/>
          </w:tcPr>
          <w:p w:rsidR="000B197F" w:rsidRDefault="000B197F" w:rsidP="000B197F">
            <w:pPr>
              <w:ind w:left="288" w:hanging="288"/>
            </w:pPr>
            <w:r>
              <w:t>Bellamy, chapter 5</w:t>
            </w:r>
          </w:p>
          <w:p w:rsidR="000B197F" w:rsidRPr="007D1120" w:rsidRDefault="000B197F" w:rsidP="000B197F">
            <w:pPr>
              <w:ind w:left="288" w:hanging="288"/>
              <w:rPr>
                <w:sz w:val="23"/>
                <w:szCs w:val="23"/>
              </w:rPr>
            </w:pPr>
            <w:r w:rsidRPr="00146ABA">
              <w:t>Chandler, David. “</w:t>
            </w:r>
            <w:r>
              <w:t>Understanding the Gap…</w:t>
            </w:r>
            <w:r w:rsidRPr="00146ABA">
              <w:t>”</w:t>
            </w:r>
          </w:p>
          <w:p w:rsidR="000B197F" w:rsidRPr="00A15646" w:rsidRDefault="000B197F" w:rsidP="000B197F">
            <w:pPr>
              <w:ind w:left="720" w:hanging="720"/>
              <w:rPr>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4/4</w:t>
            </w:r>
          </w:p>
        </w:tc>
        <w:tc>
          <w:tcPr>
            <w:tcW w:w="2520" w:type="dxa"/>
          </w:tcPr>
          <w:p w:rsidR="000B197F" w:rsidRPr="003E1788" w:rsidRDefault="000B197F" w:rsidP="000B197F">
            <w:pPr>
              <w:jc w:val="center"/>
              <w:rPr>
                <w:color w:val="FF0000"/>
                <w:sz w:val="23"/>
                <w:szCs w:val="23"/>
              </w:rPr>
            </w:pPr>
            <w:r w:rsidRPr="003E1788">
              <w:rPr>
                <w:color w:val="FF0000"/>
                <w:sz w:val="23"/>
                <w:szCs w:val="23"/>
              </w:rPr>
              <w:t>Test 2</w:t>
            </w:r>
          </w:p>
        </w:tc>
        <w:tc>
          <w:tcPr>
            <w:tcW w:w="5220" w:type="dxa"/>
          </w:tcPr>
          <w:p w:rsidR="000B197F" w:rsidRPr="007D1120" w:rsidRDefault="000B197F" w:rsidP="000B197F">
            <w:pPr>
              <w:ind w:left="288" w:hanging="288"/>
              <w:rPr>
                <w:color w:val="008000"/>
                <w:sz w:val="23"/>
                <w:szCs w:val="23"/>
              </w:rPr>
            </w:pP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4/9</w:t>
            </w:r>
          </w:p>
        </w:tc>
        <w:tc>
          <w:tcPr>
            <w:tcW w:w="2520" w:type="dxa"/>
          </w:tcPr>
          <w:p w:rsidR="000B197F" w:rsidRPr="007D1120" w:rsidRDefault="000B197F" w:rsidP="000B197F">
            <w:pPr>
              <w:jc w:val="center"/>
              <w:rPr>
                <w:sz w:val="23"/>
                <w:szCs w:val="23"/>
              </w:rPr>
            </w:pPr>
            <w:r w:rsidRPr="007D1120">
              <w:rPr>
                <w:sz w:val="23"/>
                <w:szCs w:val="23"/>
              </w:rPr>
              <w:t>Iraq: an empirical and theoretical quagmire</w:t>
            </w:r>
          </w:p>
        </w:tc>
        <w:tc>
          <w:tcPr>
            <w:tcW w:w="5220" w:type="dxa"/>
          </w:tcPr>
          <w:p w:rsidR="000B197F" w:rsidRPr="007D1120" w:rsidRDefault="000B197F" w:rsidP="000B197F">
            <w:pPr>
              <w:ind w:left="720" w:hanging="720"/>
              <w:rPr>
                <w:sz w:val="23"/>
                <w:szCs w:val="23"/>
              </w:rPr>
            </w:pPr>
            <w:r w:rsidRPr="007D1120">
              <w:rPr>
                <w:sz w:val="23"/>
                <w:szCs w:val="23"/>
              </w:rPr>
              <w:t>Roth. “War in Iraq. Not a Humanitarian Intervention”</w:t>
            </w:r>
          </w:p>
          <w:p w:rsidR="000B197F" w:rsidRPr="007D1120" w:rsidRDefault="000B197F" w:rsidP="000B197F">
            <w:pPr>
              <w:ind w:left="720" w:hanging="720"/>
              <w:rPr>
                <w:sz w:val="23"/>
                <w:szCs w:val="23"/>
              </w:rPr>
            </w:pPr>
            <w:r w:rsidRPr="007D1120">
              <w:rPr>
                <w:sz w:val="23"/>
                <w:szCs w:val="23"/>
              </w:rPr>
              <w:t>Teson. “Ending Tyranny in Iraq”</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4/11</w:t>
            </w:r>
          </w:p>
        </w:tc>
        <w:tc>
          <w:tcPr>
            <w:tcW w:w="2520" w:type="dxa"/>
          </w:tcPr>
          <w:p w:rsidR="000B197F" w:rsidRPr="007D1120" w:rsidRDefault="000B197F" w:rsidP="000B197F">
            <w:pPr>
              <w:jc w:val="center"/>
              <w:rPr>
                <w:sz w:val="23"/>
                <w:szCs w:val="23"/>
              </w:rPr>
            </w:pPr>
            <w:r w:rsidRPr="007D1120">
              <w:rPr>
                <w:sz w:val="23"/>
                <w:szCs w:val="23"/>
              </w:rPr>
              <w:t>Iraq (continued)</w:t>
            </w:r>
          </w:p>
        </w:tc>
        <w:tc>
          <w:tcPr>
            <w:tcW w:w="5220" w:type="dxa"/>
          </w:tcPr>
          <w:p w:rsidR="000B197F" w:rsidRPr="007D1120" w:rsidRDefault="000B197F" w:rsidP="000B197F">
            <w:pPr>
              <w:ind w:left="720" w:hanging="720"/>
              <w:rPr>
                <w:sz w:val="23"/>
                <w:szCs w:val="23"/>
              </w:rPr>
            </w:pPr>
            <w:r w:rsidRPr="007D1120">
              <w:rPr>
                <w:sz w:val="23"/>
                <w:szCs w:val="23"/>
              </w:rPr>
              <w:t>Nardin. “Humanitarian Imperialism”</w:t>
            </w:r>
          </w:p>
          <w:p w:rsidR="000B197F" w:rsidRPr="007D1120" w:rsidRDefault="000B197F" w:rsidP="000B197F">
            <w:pPr>
              <w:ind w:left="720" w:hanging="720"/>
              <w:rPr>
                <w:sz w:val="23"/>
                <w:szCs w:val="23"/>
              </w:rPr>
            </w:pPr>
            <w:r w:rsidRPr="007D1120">
              <w:rPr>
                <w:sz w:val="23"/>
                <w:szCs w:val="23"/>
              </w:rPr>
              <w:t>Tesón. “Of Tyrants and Empires”</w:t>
            </w:r>
          </w:p>
        </w:tc>
        <w:tc>
          <w:tcPr>
            <w:tcW w:w="2700" w:type="dxa"/>
          </w:tcPr>
          <w:p w:rsidR="000B197F" w:rsidRPr="007D1120" w:rsidRDefault="000B197F" w:rsidP="000B197F">
            <w:pPr>
              <w:rPr>
                <w:color w:val="FF0000"/>
                <w:sz w:val="23"/>
                <w:szCs w:val="23"/>
              </w:rPr>
            </w:pPr>
          </w:p>
        </w:tc>
      </w:tr>
      <w:tr w:rsidR="000B197F" w:rsidRPr="007D1120">
        <w:tc>
          <w:tcPr>
            <w:tcW w:w="720" w:type="dxa"/>
          </w:tcPr>
          <w:p w:rsidR="000B197F" w:rsidRDefault="000B197F" w:rsidP="000B197F">
            <w:r>
              <w:t>4/16</w:t>
            </w:r>
          </w:p>
        </w:tc>
        <w:tc>
          <w:tcPr>
            <w:tcW w:w="2520" w:type="dxa"/>
          </w:tcPr>
          <w:p w:rsidR="000B197F" w:rsidRPr="007D1120" w:rsidRDefault="000B197F" w:rsidP="000B197F">
            <w:pPr>
              <w:jc w:val="center"/>
              <w:rPr>
                <w:sz w:val="23"/>
                <w:szCs w:val="23"/>
              </w:rPr>
            </w:pPr>
            <w:r w:rsidRPr="007D1120">
              <w:rPr>
                <w:sz w:val="23"/>
                <w:szCs w:val="23"/>
              </w:rPr>
              <w:t>Darfur</w:t>
            </w:r>
          </w:p>
        </w:tc>
        <w:tc>
          <w:tcPr>
            <w:tcW w:w="5220" w:type="dxa"/>
          </w:tcPr>
          <w:p w:rsidR="000B197F" w:rsidRPr="007D1120" w:rsidRDefault="000B197F" w:rsidP="000B197F">
            <w:pPr>
              <w:ind w:left="288" w:hanging="288"/>
              <w:rPr>
                <w:sz w:val="23"/>
                <w:szCs w:val="23"/>
              </w:rPr>
            </w:pPr>
            <w:r w:rsidRPr="007D1120">
              <w:rPr>
                <w:sz w:val="23"/>
                <w:szCs w:val="23"/>
              </w:rPr>
              <w:t>Power. “Dying in Darfur”</w:t>
            </w:r>
          </w:p>
          <w:p w:rsidR="000B197F" w:rsidRDefault="000B197F" w:rsidP="000B197F">
            <w:pPr>
              <w:ind w:left="288" w:hanging="288"/>
              <w:rPr>
                <w:sz w:val="23"/>
                <w:szCs w:val="23"/>
              </w:rPr>
            </w:pPr>
            <w:r w:rsidRPr="007D1120">
              <w:rPr>
                <w:sz w:val="23"/>
                <w:szCs w:val="23"/>
              </w:rPr>
              <w:t>Mamdani. “The Politics of Naming: Genocide, Civil War, Insurgency”</w:t>
            </w:r>
          </w:p>
          <w:p w:rsidR="000B197F" w:rsidRPr="007D1120" w:rsidRDefault="000B197F" w:rsidP="000B197F">
            <w:pPr>
              <w:ind w:left="288" w:hanging="288"/>
              <w:rPr>
                <w:sz w:val="23"/>
                <w:szCs w:val="23"/>
              </w:rPr>
            </w:pPr>
            <w:r w:rsidRPr="007D1120">
              <w:rPr>
                <w:sz w:val="23"/>
                <w:szCs w:val="23"/>
              </w:rPr>
              <w:t>Rice. “Why Darfur Can’t be Left to Africa”</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4/18</w:t>
            </w:r>
          </w:p>
        </w:tc>
        <w:tc>
          <w:tcPr>
            <w:tcW w:w="2520" w:type="dxa"/>
          </w:tcPr>
          <w:p w:rsidR="000B197F" w:rsidRPr="007D1120" w:rsidRDefault="000B197F" w:rsidP="000B197F">
            <w:pPr>
              <w:jc w:val="center"/>
              <w:rPr>
                <w:sz w:val="23"/>
                <w:szCs w:val="23"/>
              </w:rPr>
            </w:pPr>
            <w:r>
              <w:rPr>
                <w:sz w:val="23"/>
                <w:szCs w:val="23"/>
              </w:rPr>
              <w:t>A Gendered Critique</w:t>
            </w:r>
          </w:p>
        </w:tc>
        <w:tc>
          <w:tcPr>
            <w:tcW w:w="5220" w:type="dxa"/>
          </w:tcPr>
          <w:p w:rsidR="000B197F" w:rsidRPr="007D1120" w:rsidRDefault="000B197F" w:rsidP="000B197F">
            <w:pPr>
              <w:ind w:left="288" w:hanging="288"/>
              <w:rPr>
                <w:sz w:val="23"/>
                <w:szCs w:val="23"/>
              </w:rPr>
            </w:pPr>
            <w:r>
              <w:rPr>
                <w:sz w:val="23"/>
                <w:szCs w:val="23"/>
              </w:rPr>
              <w:t>Whitworth, “Preface”, “Introduction” and chapter 2</w:t>
            </w:r>
          </w:p>
        </w:tc>
        <w:tc>
          <w:tcPr>
            <w:tcW w:w="2700" w:type="dxa"/>
          </w:tcPr>
          <w:p w:rsidR="000B197F" w:rsidRPr="00A54F6E" w:rsidRDefault="000B197F" w:rsidP="000B197F">
            <w:pPr>
              <w:rPr>
                <w:color w:val="FF0000"/>
                <w:sz w:val="23"/>
                <w:szCs w:val="23"/>
              </w:rPr>
            </w:pPr>
          </w:p>
        </w:tc>
      </w:tr>
      <w:tr w:rsidR="000B197F" w:rsidRPr="007D1120">
        <w:tc>
          <w:tcPr>
            <w:tcW w:w="720" w:type="dxa"/>
          </w:tcPr>
          <w:p w:rsidR="000B197F" w:rsidRDefault="000B197F" w:rsidP="000B197F">
            <w:r>
              <w:t>4/23</w:t>
            </w:r>
          </w:p>
        </w:tc>
        <w:tc>
          <w:tcPr>
            <w:tcW w:w="2520" w:type="dxa"/>
          </w:tcPr>
          <w:p w:rsidR="000B197F" w:rsidRPr="007D1120" w:rsidRDefault="000B197F" w:rsidP="000B197F">
            <w:pPr>
              <w:jc w:val="center"/>
              <w:rPr>
                <w:sz w:val="23"/>
                <w:szCs w:val="23"/>
              </w:rPr>
            </w:pPr>
          </w:p>
        </w:tc>
        <w:tc>
          <w:tcPr>
            <w:tcW w:w="5220" w:type="dxa"/>
          </w:tcPr>
          <w:p w:rsidR="000B197F" w:rsidRPr="007D1120" w:rsidRDefault="000B197F" w:rsidP="000B197F">
            <w:pPr>
              <w:ind w:left="720" w:hanging="720"/>
              <w:rPr>
                <w:sz w:val="23"/>
                <w:szCs w:val="23"/>
              </w:rPr>
            </w:pPr>
            <w:r>
              <w:rPr>
                <w:sz w:val="23"/>
                <w:szCs w:val="23"/>
              </w:rPr>
              <w:t>Whitworth, chapters 3,4,5</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4/25</w:t>
            </w:r>
          </w:p>
        </w:tc>
        <w:tc>
          <w:tcPr>
            <w:tcW w:w="2520" w:type="dxa"/>
          </w:tcPr>
          <w:p w:rsidR="000B197F" w:rsidRPr="007D1120" w:rsidRDefault="000B197F" w:rsidP="000B197F">
            <w:pPr>
              <w:jc w:val="center"/>
              <w:rPr>
                <w:sz w:val="23"/>
                <w:szCs w:val="23"/>
              </w:rPr>
            </w:pPr>
            <w:r>
              <w:rPr>
                <w:sz w:val="23"/>
                <w:szCs w:val="23"/>
              </w:rPr>
              <w:t>Responsibility to Prevent</w:t>
            </w:r>
            <w:r w:rsidRPr="007D1120">
              <w:rPr>
                <w:sz w:val="23"/>
                <w:szCs w:val="23"/>
              </w:rPr>
              <w:t>?</w:t>
            </w:r>
          </w:p>
        </w:tc>
        <w:tc>
          <w:tcPr>
            <w:tcW w:w="5220" w:type="dxa"/>
          </w:tcPr>
          <w:p w:rsidR="000B197F" w:rsidRPr="00A15646" w:rsidRDefault="000B197F" w:rsidP="000B197F">
            <w:pPr>
              <w:ind w:left="720" w:hanging="720"/>
              <w:rPr>
                <w:sz w:val="23"/>
                <w:szCs w:val="23"/>
              </w:rPr>
            </w:pPr>
            <w:r w:rsidRPr="00A15646">
              <w:rPr>
                <w:sz w:val="23"/>
                <w:szCs w:val="23"/>
              </w:rPr>
              <w:t>Bellamy 4</w:t>
            </w:r>
          </w:p>
          <w:p w:rsidR="000B197F" w:rsidRPr="00AD4371" w:rsidRDefault="000B197F" w:rsidP="000B197F">
            <w:pPr>
              <w:ind w:left="288" w:hanging="288"/>
            </w:pPr>
            <w:r w:rsidRPr="00A15646">
              <w:rPr>
                <w:sz w:val="23"/>
                <w:szCs w:val="23"/>
              </w:rPr>
              <w:t>Williams and Bellamy, “The New Politics of Protection…”</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4/30</w:t>
            </w:r>
          </w:p>
        </w:tc>
        <w:tc>
          <w:tcPr>
            <w:tcW w:w="2520" w:type="dxa"/>
          </w:tcPr>
          <w:p w:rsidR="000B197F" w:rsidRPr="007D1120" w:rsidRDefault="000B197F" w:rsidP="000B197F">
            <w:pPr>
              <w:jc w:val="center"/>
              <w:rPr>
                <w:sz w:val="23"/>
                <w:szCs w:val="23"/>
              </w:rPr>
            </w:pPr>
            <w:r w:rsidRPr="007D1120">
              <w:rPr>
                <w:sz w:val="23"/>
                <w:szCs w:val="23"/>
              </w:rPr>
              <w:t>From “Early” Warning to Response</w:t>
            </w:r>
          </w:p>
        </w:tc>
        <w:tc>
          <w:tcPr>
            <w:tcW w:w="5220" w:type="dxa"/>
          </w:tcPr>
          <w:p w:rsidR="000B197F" w:rsidRDefault="000B197F" w:rsidP="000B197F">
            <w:pPr>
              <w:ind w:left="288" w:hanging="288"/>
              <w:rPr>
                <w:sz w:val="23"/>
                <w:szCs w:val="23"/>
              </w:rPr>
            </w:pPr>
            <w:r>
              <w:rPr>
                <w:sz w:val="23"/>
                <w:szCs w:val="23"/>
              </w:rPr>
              <w:t>Bellamy, “Early Warning”</w:t>
            </w:r>
          </w:p>
          <w:p w:rsidR="000B197F" w:rsidRPr="007D1120" w:rsidRDefault="000B197F" w:rsidP="000B197F">
            <w:pPr>
              <w:ind w:left="288" w:hanging="288"/>
              <w:rPr>
                <w:sz w:val="23"/>
                <w:szCs w:val="23"/>
              </w:rPr>
            </w:pPr>
            <w:r>
              <w:rPr>
                <w:sz w:val="23"/>
                <w:szCs w:val="23"/>
              </w:rPr>
              <w:t>UN Sec-Gen Report, “Early warning, assessment, and the Responsibility to Protect”</w:t>
            </w:r>
          </w:p>
          <w:p w:rsidR="000B197F" w:rsidRPr="00A15646" w:rsidRDefault="000B197F" w:rsidP="000B197F">
            <w:pPr>
              <w:ind w:left="288" w:hanging="288"/>
              <w:rPr>
                <w:sz w:val="23"/>
                <w:szCs w:val="23"/>
              </w:rPr>
            </w:pPr>
            <w:r w:rsidRPr="007D1120">
              <w:rPr>
                <w:sz w:val="23"/>
                <w:szCs w:val="23"/>
              </w:rPr>
              <w:t xml:space="preserve">O’Bannon. </w:t>
            </w:r>
            <w:r w:rsidRPr="007D1120">
              <w:rPr>
                <w:color w:val="000000"/>
                <w:sz w:val="23"/>
                <w:szCs w:val="23"/>
              </w:rPr>
              <w:t>“</w:t>
            </w:r>
            <w:r>
              <w:rPr>
                <w:color w:val="000000"/>
                <w:sz w:val="23"/>
                <w:szCs w:val="23"/>
              </w:rPr>
              <w:t xml:space="preserve"> ‘</w:t>
            </w:r>
            <w:r w:rsidRPr="007D1120">
              <w:rPr>
                <w:color w:val="000000"/>
                <w:sz w:val="23"/>
                <w:szCs w:val="23"/>
              </w:rPr>
              <w:t>Monitoring the Frog</w:t>
            </w:r>
            <w:r>
              <w:rPr>
                <w:color w:val="000000"/>
                <w:sz w:val="23"/>
                <w:szCs w:val="23"/>
              </w:rPr>
              <w:t>’ in Africa</w:t>
            </w:r>
            <w:r w:rsidRPr="007D1120">
              <w:rPr>
                <w:color w:val="000000"/>
                <w:sz w:val="23"/>
                <w:szCs w:val="23"/>
              </w:rPr>
              <w:t xml:space="preserve">: </w:t>
            </w:r>
            <w:r>
              <w:rPr>
                <w:color w:val="000000"/>
                <w:sz w:val="23"/>
                <w:szCs w:val="23"/>
              </w:rPr>
              <w:t>Conflict Early Warning with Structural Data</w:t>
            </w:r>
          </w:p>
        </w:tc>
        <w:tc>
          <w:tcPr>
            <w:tcW w:w="2700" w:type="dxa"/>
          </w:tcPr>
          <w:p w:rsidR="000B197F" w:rsidRPr="007D1120" w:rsidRDefault="000B197F" w:rsidP="000B197F">
            <w:pPr>
              <w:rPr>
                <w:sz w:val="23"/>
                <w:szCs w:val="23"/>
              </w:rPr>
            </w:pPr>
            <w:r w:rsidRPr="007D1120">
              <w:rPr>
                <w:sz w:val="23"/>
                <w:szCs w:val="23"/>
              </w:rPr>
              <w:t>Final paper due</w:t>
            </w:r>
          </w:p>
        </w:tc>
      </w:tr>
      <w:tr w:rsidR="000B197F" w:rsidRPr="007D1120">
        <w:tc>
          <w:tcPr>
            <w:tcW w:w="720" w:type="dxa"/>
          </w:tcPr>
          <w:p w:rsidR="000B197F" w:rsidRDefault="000B197F" w:rsidP="000B197F">
            <w:r>
              <w:t>5/2</w:t>
            </w:r>
          </w:p>
        </w:tc>
        <w:tc>
          <w:tcPr>
            <w:tcW w:w="2520" w:type="dxa"/>
          </w:tcPr>
          <w:p w:rsidR="000B197F" w:rsidRPr="007D1120" w:rsidRDefault="000B197F" w:rsidP="000B197F">
            <w:pPr>
              <w:jc w:val="center"/>
              <w:rPr>
                <w:sz w:val="23"/>
                <w:szCs w:val="23"/>
              </w:rPr>
            </w:pPr>
            <w:r>
              <w:rPr>
                <w:sz w:val="23"/>
                <w:szCs w:val="23"/>
              </w:rPr>
              <w:t>Responsibility to Rebuild</w:t>
            </w:r>
            <w:r w:rsidRPr="007D1120">
              <w:rPr>
                <w:sz w:val="23"/>
                <w:szCs w:val="23"/>
              </w:rPr>
              <w:t>?</w:t>
            </w:r>
          </w:p>
        </w:tc>
        <w:tc>
          <w:tcPr>
            <w:tcW w:w="5220" w:type="dxa"/>
          </w:tcPr>
          <w:p w:rsidR="000B197F" w:rsidRPr="00A15646" w:rsidRDefault="000B197F" w:rsidP="000B197F">
            <w:pPr>
              <w:rPr>
                <w:sz w:val="23"/>
                <w:szCs w:val="23"/>
              </w:rPr>
            </w:pPr>
            <w:r w:rsidRPr="00A15646">
              <w:rPr>
                <w:sz w:val="23"/>
                <w:szCs w:val="23"/>
              </w:rPr>
              <w:t>Bellamy</w:t>
            </w:r>
            <w:r>
              <w:rPr>
                <w:sz w:val="23"/>
                <w:szCs w:val="23"/>
              </w:rPr>
              <w:t>, chapter</w:t>
            </w:r>
            <w:r w:rsidRPr="00A15646">
              <w:rPr>
                <w:sz w:val="23"/>
                <w:szCs w:val="23"/>
              </w:rPr>
              <w:t xml:space="preserve"> 6</w:t>
            </w:r>
          </w:p>
          <w:p w:rsidR="000B197F" w:rsidRPr="009B5E2C" w:rsidRDefault="000B197F" w:rsidP="000B197F">
            <w:pPr>
              <w:rPr>
                <w:sz w:val="23"/>
                <w:szCs w:val="23"/>
              </w:rPr>
            </w:pPr>
            <w:r w:rsidRPr="009B5E2C">
              <w:rPr>
                <w:sz w:val="23"/>
                <w:szCs w:val="23"/>
              </w:rPr>
              <w:t>IPA, “Security – Development Nexus</w:t>
            </w:r>
            <w:r>
              <w:rPr>
                <w:sz w:val="23"/>
                <w:szCs w:val="23"/>
              </w:rPr>
              <w:t>…” (pp: 1-11)</w:t>
            </w:r>
          </w:p>
          <w:p w:rsidR="000B197F" w:rsidRPr="007D1120" w:rsidRDefault="000B197F" w:rsidP="000B197F">
            <w:pPr>
              <w:ind w:left="288" w:hanging="288"/>
              <w:rPr>
                <w:color w:val="008000"/>
                <w:sz w:val="23"/>
                <w:szCs w:val="23"/>
              </w:rPr>
            </w:pPr>
            <w:r w:rsidRPr="007D1120">
              <w:rPr>
                <w:sz w:val="23"/>
                <w:szCs w:val="23"/>
              </w:rPr>
              <w:t>Ayoob. “Third World Perspective on Humanitarian Intervention and International Administration”</w:t>
            </w:r>
          </w:p>
        </w:tc>
        <w:tc>
          <w:tcPr>
            <w:tcW w:w="2700" w:type="dxa"/>
          </w:tcPr>
          <w:p w:rsidR="000B197F" w:rsidRPr="007D1120" w:rsidRDefault="000B197F" w:rsidP="000B197F">
            <w:pPr>
              <w:rPr>
                <w:sz w:val="23"/>
                <w:szCs w:val="23"/>
              </w:rPr>
            </w:pPr>
          </w:p>
        </w:tc>
      </w:tr>
      <w:tr w:rsidR="000B197F" w:rsidRPr="007D1120">
        <w:tc>
          <w:tcPr>
            <w:tcW w:w="720" w:type="dxa"/>
          </w:tcPr>
          <w:p w:rsidR="000B197F" w:rsidRDefault="000B197F" w:rsidP="000B197F">
            <w:r>
              <w:t>5/7</w:t>
            </w:r>
          </w:p>
        </w:tc>
        <w:tc>
          <w:tcPr>
            <w:tcW w:w="2520" w:type="dxa"/>
          </w:tcPr>
          <w:p w:rsidR="000B197F" w:rsidRPr="007D1120" w:rsidRDefault="000B197F" w:rsidP="000B197F">
            <w:pPr>
              <w:jc w:val="center"/>
              <w:rPr>
                <w:sz w:val="23"/>
                <w:szCs w:val="23"/>
              </w:rPr>
            </w:pPr>
            <w:r>
              <w:rPr>
                <w:sz w:val="23"/>
                <w:szCs w:val="23"/>
              </w:rPr>
              <w:t>UN Security Council and the case of Syria</w:t>
            </w:r>
          </w:p>
        </w:tc>
        <w:tc>
          <w:tcPr>
            <w:tcW w:w="5220" w:type="dxa"/>
          </w:tcPr>
          <w:p w:rsidR="000B197F" w:rsidRPr="007D1120" w:rsidRDefault="000B197F" w:rsidP="000B197F">
            <w:pPr>
              <w:ind w:left="288" w:hanging="288"/>
              <w:rPr>
                <w:sz w:val="23"/>
                <w:szCs w:val="23"/>
              </w:rPr>
            </w:pPr>
            <w:r>
              <w:rPr>
                <w:sz w:val="23"/>
                <w:szCs w:val="23"/>
              </w:rPr>
              <w:t>Simulation</w:t>
            </w:r>
          </w:p>
        </w:tc>
        <w:tc>
          <w:tcPr>
            <w:tcW w:w="2700" w:type="dxa"/>
          </w:tcPr>
          <w:p w:rsidR="000B197F" w:rsidRPr="007D1120" w:rsidRDefault="000B197F" w:rsidP="000B197F">
            <w:pPr>
              <w:rPr>
                <w:sz w:val="23"/>
                <w:szCs w:val="23"/>
              </w:rPr>
            </w:pPr>
            <w:r>
              <w:rPr>
                <w:sz w:val="23"/>
                <w:szCs w:val="23"/>
              </w:rPr>
              <w:t>Simulation character sketch due</w:t>
            </w:r>
          </w:p>
        </w:tc>
      </w:tr>
      <w:tr w:rsidR="000B197F" w:rsidRPr="007D1120">
        <w:tc>
          <w:tcPr>
            <w:tcW w:w="720" w:type="dxa"/>
          </w:tcPr>
          <w:p w:rsidR="000B197F" w:rsidRDefault="000B197F" w:rsidP="000B197F">
            <w:r>
              <w:t>5/9</w:t>
            </w:r>
          </w:p>
        </w:tc>
        <w:tc>
          <w:tcPr>
            <w:tcW w:w="2520" w:type="dxa"/>
          </w:tcPr>
          <w:p w:rsidR="000B197F" w:rsidRPr="007D1120" w:rsidRDefault="000B197F" w:rsidP="000B197F">
            <w:pPr>
              <w:jc w:val="center"/>
              <w:rPr>
                <w:sz w:val="23"/>
                <w:szCs w:val="23"/>
              </w:rPr>
            </w:pPr>
            <w:r w:rsidRPr="007D1120">
              <w:rPr>
                <w:sz w:val="23"/>
                <w:szCs w:val="23"/>
              </w:rPr>
              <w:t xml:space="preserve">And so? </w:t>
            </w:r>
          </w:p>
        </w:tc>
        <w:tc>
          <w:tcPr>
            <w:tcW w:w="5220" w:type="dxa"/>
          </w:tcPr>
          <w:p w:rsidR="000B197F" w:rsidRPr="00A15646" w:rsidRDefault="000B197F" w:rsidP="000B197F">
            <w:pPr>
              <w:ind w:left="720" w:hanging="720"/>
              <w:rPr>
                <w:sz w:val="23"/>
                <w:szCs w:val="23"/>
              </w:rPr>
            </w:pPr>
            <w:r w:rsidRPr="00A15646">
              <w:rPr>
                <w:sz w:val="23"/>
                <w:szCs w:val="23"/>
              </w:rPr>
              <w:t>Weiss. Chapter 5</w:t>
            </w:r>
          </w:p>
          <w:p w:rsidR="000B197F" w:rsidRPr="00A15646" w:rsidRDefault="000B197F" w:rsidP="000B197F">
            <w:pPr>
              <w:ind w:left="720" w:hanging="720"/>
              <w:rPr>
                <w:sz w:val="23"/>
                <w:szCs w:val="23"/>
              </w:rPr>
            </w:pPr>
            <w:r w:rsidRPr="00A15646">
              <w:rPr>
                <w:sz w:val="23"/>
                <w:szCs w:val="23"/>
              </w:rPr>
              <w:t>Bellamy Conclusion</w:t>
            </w:r>
          </w:p>
        </w:tc>
        <w:tc>
          <w:tcPr>
            <w:tcW w:w="2700" w:type="dxa"/>
          </w:tcPr>
          <w:p w:rsidR="000B197F" w:rsidRPr="007D1120" w:rsidRDefault="000B197F" w:rsidP="000B197F">
            <w:pPr>
              <w:rPr>
                <w:sz w:val="32"/>
                <w:szCs w:val="32"/>
              </w:rPr>
            </w:pPr>
          </w:p>
        </w:tc>
      </w:tr>
    </w:tbl>
    <w:p w:rsidR="000B197F" w:rsidRDefault="000B197F" w:rsidP="000B197F">
      <w:pPr>
        <w:tabs>
          <w:tab w:val="left" w:pos="1740"/>
        </w:tabs>
        <w:jc w:val="center"/>
        <w:rPr>
          <w:b/>
          <w:sz w:val="23"/>
          <w:szCs w:val="23"/>
        </w:rPr>
      </w:pPr>
    </w:p>
    <w:p w:rsidR="000B197F" w:rsidRPr="00530CA6" w:rsidRDefault="000B197F" w:rsidP="000B197F">
      <w:pPr>
        <w:tabs>
          <w:tab w:val="left" w:pos="1740"/>
        </w:tabs>
        <w:jc w:val="center"/>
        <w:rPr>
          <w:b/>
          <w:sz w:val="23"/>
          <w:szCs w:val="23"/>
        </w:rPr>
      </w:pPr>
      <w:r>
        <w:rPr>
          <w:b/>
          <w:sz w:val="23"/>
          <w:szCs w:val="23"/>
        </w:rPr>
        <w:br w:type="page"/>
      </w:r>
      <w:r w:rsidRPr="00530CA6">
        <w:rPr>
          <w:b/>
          <w:sz w:val="23"/>
          <w:szCs w:val="23"/>
        </w:rPr>
        <w:t>COURSE REQUIREMENTS</w:t>
      </w:r>
    </w:p>
    <w:p w:rsidR="000B197F" w:rsidRPr="00530CA6" w:rsidRDefault="000B197F" w:rsidP="000B197F">
      <w:pPr>
        <w:tabs>
          <w:tab w:val="left" w:pos="1740"/>
        </w:tabs>
        <w:rPr>
          <w:sz w:val="23"/>
          <w:szCs w:val="23"/>
        </w:rPr>
      </w:pPr>
    </w:p>
    <w:p w:rsidR="000B197F" w:rsidRPr="00530CA6" w:rsidRDefault="000B197F" w:rsidP="000B197F">
      <w:pPr>
        <w:tabs>
          <w:tab w:val="left" w:pos="1740"/>
        </w:tabs>
        <w:rPr>
          <w:sz w:val="23"/>
          <w:szCs w:val="23"/>
          <w:u w:val="single"/>
        </w:rPr>
      </w:pPr>
      <w:r>
        <w:rPr>
          <w:sz w:val="23"/>
          <w:szCs w:val="23"/>
          <w:u w:val="single"/>
        </w:rPr>
        <w:t>Class Participation. (15</w:t>
      </w:r>
      <w:r w:rsidRPr="00530CA6">
        <w:rPr>
          <w:sz w:val="23"/>
          <w:szCs w:val="23"/>
          <w:u w:val="single"/>
        </w:rPr>
        <w:t>%)</w:t>
      </w:r>
    </w:p>
    <w:p w:rsidR="000B197F" w:rsidRPr="00530CA6" w:rsidRDefault="000B197F" w:rsidP="000B197F">
      <w:pPr>
        <w:tabs>
          <w:tab w:val="left" w:pos="1740"/>
        </w:tabs>
        <w:rPr>
          <w:sz w:val="23"/>
          <w:szCs w:val="23"/>
        </w:rPr>
      </w:pPr>
      <w:r w:rsidRPr="00530CA6">
        <w:rPr>
          <w:sz w:val="23"/>
          <w:szCs w:val="23"/>
        </w:rPr>
        <w:t xml:space="preserve">This is required. You are expected to show up to class prepared to engage with the material assigned. That means I expect to hear from you in class and in ways that reflect your understanding of the reading. </w:t>
      </w:r>
    </w:p>
    <w:p w:rsidR="000B197F" w:rsidRPr="00530CA6" w:rsidRDefault="000B197F" w:rsidP="000B197F">
      <w:pPr>
        <w:tabs>
          <w:tab w:val="left" w:pos="1740"/>
        </w:tabs>
        <w:rPr>
          <w:sz w:val="23"/>
          <w:szCs w:val="23"/>
        </w:rPr>
      </w:pPr>
    </w:p>
    <w:p w:rsidR="000B197F" w:rsidRPr="00530CA6" w:rsidRDefault="000B197F" w:rsidP="000B197F">
      <w:pPr>
        <w:tabs>
          <w:tab w:val="left" w:pos="1740"/>
        </w:tabs>
        <w:rPr>
          <w:sz w:val="23"/>
          <w:szCs w:val="23"/>
        </w:rPr>
      </w:pPr>
      <w:r w:rsidRPr="00530CA6">
        <w:rPr>
          <w:sz w:val="23"/>
          <w:szCs w:val="23"/>
        </w:rPr>
        <w:t>A note on attendance. Though I have no formal attendance policy</w:t>
      </w:r>
      <w:r>
        <w:rPr>
          <w:sz w:val="23"/>
          <w:szCs w:val="23"/>
        </w:rPr>
        <w:t xml:space="preserve"> in this class</w:t>
      </w:r>
      <w:r w:rsidRPr="00530CA6">
        <w:rPr>
          <w:sz w:val="23"/>
          <w:szCs w:val="23"/>
        </w:rPr>
        <w:t>, that is I don’t actually take attendance, participation in this class is essential. For one, it counts for 10% of you</w:t>
      </w:r>
      <w:r>
        <w:rPr>
          <w:sz w:val="23"/>
          <w:szCs w:val="23"/>
        </w:rPr>
        <w:t>r grade. It goes without saying</w:t>
      </w:r>
      <w:r w:rsidRPr="00530CA6">
        <w:rPr>
          <w:sz w:val="23"/>
          <w:szCs w:val="23"/>
        </w:rPr>
        <w:t xml:space="preserve"> </w:t>
      </w:r>
      <w:r>
        <w:rPr>
          <w:sz w:val="23"/>
          <w:szCs w:val="23"/>
        </w:rPr>
        <w:t>(well apparently it doesn’t!)</w:t>
      </w:r>
      <w:r w:rsidRPr="00530CA6">
        <w:rPr>
          <w:sz w:val="23"/>
          <w:szCs w:val="23"/>
        </w:rPr>
        <w:t xml:space="preserve"> that you can’t participate if you don’t attend. If you miss 2-3 classes you will likely have jeopardized your participation grade. If you miss </w:t>
      </w:r>
      <w:r w:rsidRPr="00530CA6">
        <w:rPr>
          <w:i/>
          <w:sz w:val="23"/>
          <w:szCs w:val="23"/>
        </w:rPr>
        <w:t>more</w:t>
      </w:r>
      <w:r w:rsidRPr="00530CA6">
        <w:rPr>
          <w:sz w:val="23"/>
          <w:szCs w:val="23"/>
        </w:rPr>
        <w:t xml:space="preserve"> than 2-3 classes, you’re overall grade is likely in danger. </w:t>
      </w:r>
    </w:p>
    <w:p w:rsidR="000B197F" w:rsidRPr="00530CA6" w:rsidRDefault="000B197F" w:rsidP="000B197F">
      <w:pPr>
        <w:tabs>
          <w:tab w:val="left" w:pos="1740"/>
        </w:tabs>
        <w:rPr>
          <w:sz w:val="23"/>
          <w:szCs w:val="23"/>
        </w:rPr>
      </w:pPr>
    </w:p>
    <w:p w:rsidR="000B197F" w:rsidRPr="00530CA6" w:rsidRDefault="000B197F" w:rsidP="000B197F">
      <w:pPr>
        <w:tabs>
          <w:tab w:val="left" w:pos="1740"/>
        </w:tabs>
        <w:rPr>
          <w:sz w:val="23"/>
          <w:szCs w:val="23"/>
          <w:u w:val="single"/>
        </w:rPr>
      </w:pPr>
      <w:r w:rsidRPr="00530CA6">
        <w:rPr>
          <w:sz w:val="23"/>
          <w:szCs w:val="23"/>
          <w:u w:val="single"/>
        </w:rPr>
        <w:t>Tests</w:t>
      </w:r>
      <w:r>
        <w:rPr>
          <w:sz w:val="23"/>
          <w:szCs w:val="23"/>
          <w:u w:val="single"/>
        </w:rPr>
        <w:t xml:space="preserve"> (25%, 25%</w:t>
      </w:r>
      <w:r w:rsidRPr="00530CA6">
        <w:rPr>
          <w:sz w:val="23"/>
          <w:szCs w:val="23"/>
          <w:u w:val="single"/>
        </w:rPr>
        <w:t>)</w:t>
      </w:r>
    </w:p>
    <w:p w:rsidR="000B197F" w:rsidRPr="00530CA6" w:rsidRDefault="000B197F" w:rsidP="000B197F">
      <w:pPr>
        <w:tabs>
          <w:tab w:val="left" w:pos="1740"/>
        </w:tabs>
        <w:rPr>
          <w:sz w:val="23"/>
          <w:szCs w:val="23"/>
        </w:rPr>
      </w:pPr>
      <w:r w:rsidRPr="00530CA6">
        <w:rPr>
          <w:sz w:val="23"/>
          <w:szCs w:val="23"/>
        </w:rPr>
        <w:t xml:space="preserve">There are </w:t>
      </w:r>
      <w:r>
        <w:rPr>
          <w:sz w:val="23"/>
          <w:szCs w:val="23"/>
        </w:rPr>
        <w:t>two tests in this class</w:t>
      </w:r>
      <w:r w:rsidRPr="00530CA6">
        <w:rPr>
          <w:sz w:val="23"/>
          <w:szCs w:val="23"/>
        </w:rPr>
        <w:t xml:space="preserve">. </w:t>
      </w:r>
      <w:r>
        <w:rPr>
          <w:sz w:val="23"/>
          <w:szCs w:val="23"/>
        </w:rPr>
        <w:t>They are worth 25% each.</w:t>
      </w:r>
      <w:r w:rsidRPr="00530CA6">
        <w:rPr>
          <w:sz w:val="23"/>
          <w:szCs w:val="23"/>
        </w:rPr>
        <w:t xml:space="preserve"> These tests will be a combination of short answer and short essay. If time requires we might make one or more of these tests of the “take home” variety. </w:t>
      </w:r>
    </w:p>
    <w:p w:rsidR="000B197F" w:rsidRPr="00530CA6" w:rsidRDefault="000B197F" w:rsidP="000B197F">
      <w:pPr>
        <w:tabs>
          <w:tab w:val="left" w:pos="1740"/>
        </w:tabs>
        <w:rPr>
          <w:sz w:val="23"/>
          <w:szCs w:val="23"/>
        </w:rPr>
      </w:pPr>
    </w:p>
    <w:p w:rsidR="000B197F" w:rsidRPr="000F3E9C" w:rsidRDefault="000B197F" w:rsidP="000B197F">
      <w:pPr>
        <w:tabs>
          <w:tab w:val="left" w:pos="1740"/>
        </w:tabs>
        <w:rPr>
          <w:sz w:val="23"/>
          <w:szCs w:val="23"/>
          <w:u w:val="single"/>
        </w:rPr>
      </w:pPr>
      <w:r w:rsidRPr="000F3E9C">
        <w:rPr>
          <w:sz w:val="23"/>
          <w:szCs w:val="23"/>
          <w:u w:val="single"/>
        </w:rPr>
        <w:t>Simulation (15%)</w:t>
      </w:r>
    </w:p>
    <w:p w:rsidR="000B197F" w:rsidRPr="000F3E9C" w:rsidRDefault="000B197F" w:rsidP="000B197F">
      <w:pPr>
        <w:tabs>
          <w:tab w:val="left" w:pos="1740"/>
        </w:tabs>
        <w:rPr>
          <w:sz w:val="23"/>
          <w:szCs w:val="23"/>
        </w:rPr>
      </w:pPr>
      <w:r w:rsidRPr="000F3E9C">
        <w:rPr>
          <w:sz w:val="23"/>
          <w:szCs w:val="23"/>
        </w:rPr>
        <w:t xml:space="preserve">You will participate in a two-part simulation. On March 21, you will simulate a UN Security Council session in which the question of a military intervention in Syria will be discussed. You will seek to obtain a majority position for a course of action deemed appropriate and effective in bringing about an end to the human protection crisis in that country.  For this first simulation, you will sit behind the so-called veil of ignorance. That is, you will not know the identity of your character (e.g., state member of the security council or NGO with “consultative status”). You  will, however, have been studying the problem in Syria. To facilitate discussion, you will submit on the day of the first simulation a 1-2 page synopsis of this human protection crisis. </w:t>
      </w:r>
    </w:p>
    <w:p w:rsidR="000B197F" w:rsidRPr="000F3E9C" w:rsidRDefault="000B197F" w:rsidP="000B197F">
      <w:pPr>
        <w:tabs>
          <w:tab w:val="left" w:pos="1740"/>
        </w:tabs>
        <w:rPr>
          <w:sz w:val="23"/>
          <w:szCs w:val="23"/>
        </w:rPr>
      </w:pPr>
    </w:p>
    <w:p w:rsidR="000B197F" w:rsidRPr="000F3E9C" w:rsidRDefault="000B197F" w:rsidP="000B197F">
      <w:pPr>
        <w:tabs>
          <w:tab w:val="left" w:pos="1740"/>
        </w:tabs>
        <w:rPr>
          <w:sz w:val="23"/>
          <w:szCs w:val="23"/>
        </w:rPr>
      </w:pPr>
      <w:r w:rsidRPr="000F3E9C">
        <w:rPr>
          <w:sz w:val="23"/>
          <w:szCs w:val="23"/>
        </w:rPr>
        <w:t xml:space="preserve">Upon completion of the first part of the simulation, you will be ‘unveiled’ and learn the character you will play in the final part of the simulation, which will be held on the final day of class. You will have until the second simulation to study your character. You are to learn what the state’s or NGO’s position/record is on: human rights, intervention in general, R2P, conditions for intervention, etc.  To facilitate this research, you will submit on the day of the second simulation a 1-2 page character sketch. </w:t>
      </w:r>
    </w:p>
    <w:p w:rsidR="000B197F" w:rsidRDefault="000B197F" w:rsidP="000B197F">
      <w:pPr>
        <w:tabs>
          <w:tab w:val="left" w:pos="1740"/>
        </w:tabs>
        <w:rPr>
          <w:sz w:val="23"/>
          <w:szCs w:val="23"/>
        </w:rPr>
      </w:pPr>
    </w:p>
    <w:p w:rsidR="000B197F" w:rsidRPr="005A1E26" w:rsidRDefault="000B197F" w:rsidP="000B197F">
      <w:pPr>
        <w:tabs>
          <w:tab w:val="left" w:pos="1740"/>
        </w:tabs>
        <w:rPr>
          <w:sz w:val="23"/>
          <w:szCs w:val="23"/>
          <w:u w:val="single"/>
        </w:rPr>
      </w:pPr>
      <w:r w:rsidRPr="005A1E26">
        <w:rPr>
          <w:sz w:val="23"/>
          <w:szCs w:val="23"/>
          <w:u w:val="single"/>
        </w:rPr>
        <w:t xml:space="preserve">Research Paper (20%). </w:t>
      </w:r>
    </w:p>
    <w:p w:rsidR="000B197F" w:rsidRDefault="000B197F" w:rsidP="000B197F">
      <w:pPr>
        <w:tabs>
          <w:tab w:val="left" w:pos="1740"/>
        </w:tabs>
        <w:rPr>
          <w:sz w:val="23"/>
          <w:szCs w:val="23"/>
        </w:rPr>
      </w:pPr>
      <w:r>
        <w:rPr>
          <w:sz w:val="23"/>
          <w:szCs w:val="23"/>
        </w:rPr>
        <w:t>For your final research paper, you will be required to choose a current complex humanitarian disaster – chosen in consultation with me – and answer the following question: What are the implications of the emerging norm of the Responsibility to Protect for the CHE you have chosen? Does</w:t>
      </w:r>
      <w:r w:rsidRPr="00E34E54">
        <w:rPr>
          <w:sz w:val="23"/>
          <w:szCs w:val="23"/>
        </w:rPr>
        <w:t xml:space="preserve"> </w:t>
      </w:r>
      <w:r>
        <w:rPr>
          <w:sz w:val="23"/>
          <w:szCs w:val="23"/>
        </w:rPr>
        <w:t xml:space="preserve">the international community, given the central pillars (and the toolboxes) of the R2P norm, have a responsibility for the CHE in question.?  If so, what, exactly, seems to be required in order to satisfy the conditions of R2P. The paper should be 10-15 pages in length. </w:t>
      </w:r>
    </w:p>
    <w:p w:rsidR="000B197F" w:rsidRDefault="000B197F" w:rsidP="000B197F">
      <w:pPr>
        <w:tabs>
          <w:tab w:val="left" w:pos="1740"/>
        </w:tabs>
        <w:rPr>
          <w:sz w:val="23"/>
          <w:szCs w:val="23"/>
        </w:rPr>
      </w:pPr>
    </w:p>
    <w:p w:rsidR="000B197F" w:rsidRPr="00530CA6" w:rsidRDefault="000B197F" w:rsidP="000B197F">
      <w:pPr>
        <w:jc w:val="center"/>
        <w:rPr>
          <w:b/>
          <w:sz w:val="23"/>
          <w:szCs w:val="23"/>
        </w:rPr>
      </w:pPr>
      <w:r>
        <w:rPr>
          <w:b/>
          <w:sz w:val="23"/>
          <w:szCs w:val="23"/>
        </w:rPr>
        <w:br w:type="page"/>
      </w:r>
      <w:r w:rsidRPr="00530CA6">
        <w:rPr>
          <w:b/>
          <w:sz w:val="23"/>
          <w:szCs w:val="23"/>
        </w:rPr>
        <w:t>ACADEMIC INTEGRITY</w:t>
      </w:r>
    </w:p>
    <w:p w:rsidR="000B197F" w:rsidRPr="00530CA6" w:rsidRDefault="000B197F" w:rsidP="000B197F">
      <w:pPr>
        <w:jc w:val="center"/>
        <w:rPr>
          <w:b/>
          <w:sz w:val="23"/>
          <w:szCs w:val="23"/>
        </w:rPr>
      </w:pPr>
    </w:p>
    <w:p w:rsidR="000B197F" w:rsidRPr="00530CA6" w:rsidRDefault="000B197F" w:rsidP="000B197F">
      <w:pPr>
        <w:rPr>
          <w:sz w:val="23"/>
          <w:szCs w:val="23"/>
        </w:rPr>
      </w:pPr>
      <w:r w:rsidRPr="00530CA6">
        <w:rPr>
          <w:sz w:val="23"/>
          <w:szCs w:val="23"/>
        </w:rPr>
        <w:t xml:space="preserve">From the Student Handbook. </w:t>
      </w:r>
    </w:p>
    <w:p w:rsidR="000B197F" w:rsidRPr="00530CA6" w:rsidRDefault="000B197F" w:rsidP="000B197F">
      <w:pPr>
        <w:rPr>
          <w:sz w:val="23"/>
          <w:szCs w:val="23"/>
        </w:rPr>
      </w:pPr>
    </w:p>
    <w:p w:rsidR="000B197F" w:rsidRPr="00530CA6" w:rsidRDefault="000B197F" w:rsidP="000B197F">
      <w:pPr>
        <w:rPr>
          <w:sz w:val="23"/>
          <w:szCs w:val="23"/>
        </w:rPr>
      </w:pPr>
      <w:r w:rsidRPr="00530CA6">
        <w:rPr>
          <w:sz w:val="23"/>
          <w:szCs w:val="23"/>
        </w:rPr>
        <w:t>"Academic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w:t>
      </w:r>
    </w:p>
    <w:p w:rsidR="000B197F" w:rsidRPr="00530CA6" w:rsidRDefault="000B197F" w:rsidP="000B197F">
      <w:pPr>
        <w:rPr>
          <w:sz w:val="23"/>
          <w:szCs w:val="23"/>
        </w:rPr>
      </w:pPr>
    </w:p>
    <w:p w:rsidR="000B197F" w:rsidRPr="00530CA6" w:rsidRDefault="000B197F" w:rsidP="000B197F">
      <w:pPr>
        <w:rPr>
          <w:sz w:val="23"/>
          <w:szCs w:val="23"/>
        </w:rPr>
      </w:pPr>
      <w:r w:rsidRPr="00530CA6">
        <w:rPr>
          <w:sz w:val="23"/>
          <w:szCs w:val="23"/>
        </w:rPr>
        <w:t>Academic integrity is not solely the responsibility of students. Rather, faculty members and administrators have the responsibility of creating an environment in which honesty is encouraged, dishonesty discouraged and integrity is openly discussed."</w:t>
      </w:r>
    </w:p>
    <w:p w:rsidR="000B197F" w:rsidRPr="00530CA6" w:rsidRDefault="000B197F" w:rsidP="000B197F">
      <w:pPr>
        <w:rPr>
          <w:sz w:val="23"/>
          <w:szCs w:val="23"/>
        </w:rPr>
      </w:pPr>
    </w:p>
    <w:p w:rsidR="000B197F" w:rsidRPr="00530CA6" w:rsidRDefault="000B197F" w:rsidP="000B197F">
      <w:pPr>
        <w:rPr>
          <w:sz w:val="23"/>
          <w:szCs w:val="23"/>
        </w:rPr>
      </w:pPr>
      <w:r w:rsidRPr="00530CA6">
        <w:rPr>
          <w:sz w:val="23"/>
          <w:szCs w:val="23"/>
        </w:rPr>
        <w:t xml:space="preserve">From Charles Lipson, </w:t>
      </w:r>
      <w:r w:rsidRPr="00530CA6">
        <w:rPr>
          <w:i/>
          <w:sz w:val="23"/>
          <w:szCs w:val="23"/>
        </w:rPr>
        <w:t>Doing Honest Work in College</w:t>
      </w:r>
      <w:r w:rsidRPr="00530CA6">
        <w:rPr>
          <w:sz w:val="23"/>
          <w:szCs w:val="23"/>
        </w:rPr>
        <w:t xml:space="preserve">. </w:t>
      </w:r>
    </w:p>
    <w:p w:rsidR="000B197F" w:rsidRPr="00530CA6" w:rsidRDefault="000B197F" w:rsidP="000B197F">
      <w:pPr>
        <w:ind w:left="780" w:right="1500"/>
        <w:rPr>
          <w:sz w:val="23"/>
          <w:szCs w:val="23"/>
        </w:rPr>
      </w:pPr>
      <w:r w:rsidRPr="00530CA6">
        <w:rPr>
          <w:sz w:val="23"/>
          <w:szCs w:val="23"/>
        </w:rPr>
        <w:t>Academic honesty boils down to three simple but powerful principles.</w:t>
      </w:r>
    </w:p>
    <w:p w:rsidR="000B197F" w:rsidRPr="00530CA6" w:rsidRDefault="000B197F" w:rsidP="000B197F">
      <w:pPr>
        <w:ind w:left="780" w:right="1500"/>
        <w:rPr>
          <w:sz w:val="23"/>
          <w:szCs w:val="23"/>
        </w:rPr>
      </w:pPr>
    </w:p>
    <w:p w:rsidR="000B197F" w:rsidRPr="00530CA6" w:rsidRDefault="000B197F" w:rsidP="000B197F">
      <w:pPr>
        <w:tabs>
          <w:tab w:val="num" w:pos="720"/>
        </w:tabs>
        <w:ind w:left="1500" w:right="1500" w:hanging="360"/>
        <w:rPr>
          <w:sz w:val="23"/>
          <w:szCs w:val="23"/>
        </w:rPr>
      </w:pPr>
      <w:r w:rsidRPr="00530CA6">
        <w:rPr>
          <w:rFonts w:ascii="Symbol" w:eastAsia="Symbol" w:hAnsi="Symbol" w:cs="Symbol"/>
          <w:sz w:val="23"/>
          <w:szCs w:val="23"/>
        </w:rPr>
        <w:t></w:t>
      </w:r>
      <w:r w:rsidRPr="00530CA6">
        <w:rPr>
          <w:rFonts w:eastAsia="Symbol"/>
          <w:sz w:val="23"/>
          <w:szCs w:val="23"/>
        </w:rPr>
        <w:t>    </w:t>
      </w:r>
      <w:r w:rsidRPr="00530CA6">
        <w:rPr>
          <w:sz w:val="23"/>
          <w:szCs w:val="23"/>
        </w:rPr>
        <w:t>When you say you did the work yourself, you actually did it.</w:t>
      </w:r>
    </w:p>
    <w:p w:rsidR="000B197F" w:rsidRPr="00530CA6" w:rsidRDefault="000B197F" w:rsidP="000B197F">
      <w:pPr>
        <w:tabs>
          <w:tab w:val="num" w:pos="720"/>
        </w:tabs>
        <w:ind w:left="1500" w:right="1500" w:hanging="360"/>
        <w:rPr>
          <w:sz w:val="23"/>
          <w:szCs w:val="23"/>
        </w:rPr>
      </w:pPr>
      <w:r w:rsidRPr="00530CA6">
        <w:rPr>
          <w:rFonts w:ascii="Symbol" w:eastAsia="Symbol" w:hAnsi="Symbol" w:cs="Symbol"/>
          <w:sz w:val="23"/>
          <w:szCs w:val="23"/>
        </w:rPr>
        <w:t></w:t>
      </w:r>
      <w:r w:rsidRPr="00530CA6">
        <w:rPr>
          <w:rFonts w:eastAsia="Symbol"/>
          <w:sz w:val="23"/>
          <w:szCs w:val="23"/>
        </w:rPr>
        <w:t>     </w:t>
      </w:r>
      <w:r w:rsidRPr="00530CA6">
        <w:rPr>
          <w:sz w:val="23"/>
          <w:szCs w:val="23"/>
        </w:rPr>
        <w:t>When you rely on someone else's work, you cite it. When you use their words, you quote them accurately, and you cite them, too.</w:t>
      </w:r>
    </w:p>
    <w:p w:rsidR="000B197F" w:rsidRPr="00530CA6" w:rsidRDefault="000B197F" w:rsidP="000B197F">
      <w:pPr>
        <w:tabs>
          <w:tab w:val="num" w:pos="720"/>
        </w:tabs>
        <w:ind w:left="1500" w:right="1500" w:hanging="360"/>
        <w:rPr>
          <w:sz w:val="23"/>
          <w:szCs w:val="23"/>
        </w:rPr>
      </w:pPr>
      <w:r w:rsidRPr="00530CA6">
        <w:rPr>
          <w:rFonts w:ascii="Symbol" w:eastAsia="Symbol" w:hAnsi="Symbol" w:cs="Symbol"/>
          <w:sz w:val="23"/>
          <w:szCs w:val="23"/>
        </w:rPr>
        <w:t></w:t>
      </w:r>
      <w:r w:rsidRPr="00530CA6">
        <w:rPr>
          <w:rFonts w:eastAsia="Symbol"/>
          <w:sz w:val="23"/>
          <w:szCs w:val="23"/>
        </w:rPr>
        <w:t>     </w:t>
      </w:r>
      <w:r w:rsidRPr="00530CA6">
        <w:rPr>
          <w:sz w:val="23"/>
          <w:szCs w:val="23"/>
        </w:rPr>
        <w:t xml:space="preserve">When you present research materials, you present them fairly and truthfully. That's true whether the research involves data, documents, or the writings of other scholars. </w:t>
      </w:r>
    </w:p>
    <w:p w:rsidR="000B197F" w:rsidRPr="00530CA6" w:rsidRDefault="000B197F" w:rsidP="000B197F">
      <w:pPr>
        <w:rPr>
          <w:sz w:val="23"/>
          <w:szCs w:val="23"/>
        </w:rPr>
      </w:pPr>
    </w:p>
    <w:p w:rsidR="000B197F" w:rsidRPr="00530CA6" w:rsidRDefault="000B197F" w:rsidP="000B197F">
      <w:pPr>
        <w:rPr>
          <w:sz w:val="23"/>
          <w:szCs w:val="23"/>
        </w:rPr>
      </w:pPr>
      <w:r w:rsidRPr="00530CA6">
        <w:rPr>
          <w:sz w:val="23"/>
          <w:szCs w:val="23"/>
        </w:rPr>
        <w:t xml:space="preserve">Consistent with these remarks, please understand that I view academic integrity as the moral foundation of the university experience. In recent years the presumption of integrity has suffered some very serious blows. A professor at Mount Holyoke College admitted he falsified information in his lectures regarding service in the US Armed Forces during the Vietnam War. He was subsequently suspended from the college. More recently, noted historian Stephen Ambrose admitted to using without proper attribution sentences and phrases from others' work in his book </w:t>
      </w:r>
      <w:r w:rsidRPr="00530CA6">
        <w:rPr>
          <w:i/>
          <w:sz w:val="23"/>
          <w:szCs w:val="23"/>
        </w:rPr>
        <w:t>The Wild Blue</w:t>
      </w:r>
      <w:r w:rsidRPr="00530CA6">
        <w:rPr>
          <w:sz w:val="23"/>
          <w:szCs w:val="23"/>
        </w:rPr>
        <w:t xml:space="preserve">. It would seem we have a problem of national scope. </w:t>
      </w:r>
    </w:p>
    <w:p w:rsidR="000B197F" w:rsidRPr="00530CA6" w:rsidRDefault="000B197F" w:rsidP="000B197F">
      <w:pPr>
        <w:rPr>
          <w:sz w:val="23"/>
          <w:szCs w:val="23"/>
        </w:rPr>
      </w:pPr>
    </w:p>
    <w:p w:rsidR="000B197F" w:rsidRPr="00530CA6" w:rsidRDefault="000B197F" w:rsidP="000B197F">
      <w:pPr>
        <w:rPr>
          <w:sz w:val="23"/>
          <w:szCs w:val="23"/>
        </w:rPr>
      </w:pPr>
      <w:r w:rsidRPr="00530CA6">
        <w:rPr>
          <w:sz w:val="23"/>
          <w:szCs w:val="23"/>
        </w:rPr>
        <w:t>We cannot be responsible for what others may do, but we can see to it that our own efforts are of the highest caliber. To pursue such a course, we must be familiar with the University's policy regarding Academic Integrity. In this, as in all my courses, I apply the University's policy fully. In short, no violation of the integrity policy will be excused.</w:t>
      </w:r>
    </w:p>
    <w:p w:rsidR="000B197F" w:rsidRPr="00530CA6" w:rsidRDefault="000B197F" w:rsidP="000B197F">
      <w:pPr>
        <w:tabs>
          <w:tab w:val="left" w:pos="1740"/>
        </w:tabs>
        <w:rPr>
          <w:sz w:val="23"/>
          <w:szCs w:val="23"/>
        </w:rPr>
      </w:pPr>
    </w:p>
    <w:p w:rsidR="000B197F" w:rsidRPr="00FD5644" w:rsidRDefault="000B197F" w:rsidP="000B197F">
      <w:pPr>
        <w:tabs>
          <w:tab w:val="left" w:pos="1740"/>
        </w:tabs>
        <w:ind w:left="360"/>
        <w:rPr>
          <w:sz w:val="23"/>
          <w:szCs w:val="23"/>
        </w:rPr>
      </w:pPr>
    </w:p>
    <w:sectPr w:rsidR="000B197F" w:rsidRPr="00FD5644">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7F" w:rsidRDefault="000B197F">
      <w:r>
        <w:separator/>
      </w:r>
    </w:p>
  </w:endnote>
  <w:endnote w:type="continuationSeparator" w:id="0">
    <w:p w:rsidR="000B197F" w:rsidRDefault="000B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7F" w:rsidRDefault="000B197F">
      <w:r>
        <w:separator/>
      </w:r>
    </w:p>
  </w:footnote>
  <w:footnote w:type="continuationSeparator" w:id="0">
    <w:p w:rsidR="000B197F" w:rsidRDefault="000B197F">
      <w:r>
        <w:continuationSeparator/>
      </w:r>
    </w:p>
  </w:footnote>
  <w:footnote w:id="1">
    <w:p w:rsidR="000B197F" w:rsidRDefault="000B197F" w:rsidP="000B197F">
      <w:pPr>
        <w:pStyle w:val="FootnoteText"/>
      </w:pPr>
      <w:r>
        <w:rPr>
          <w:rStyle w:val="FootnoteReference"/>
        </w:rPr>
        <w:footnoteRef/>
      </w:r>
      <w:r>
        <w:t xml:space="preserve"> Cross-listed with Black Studies and Conflict Studies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97F" w:rsidRDefault="000B197F" w:rsidP="000B197F">
    <w:pPr>
      <w:pStyle w:val="Header"/>
    </w:pPr>
    <w:r>
      <w:t xml:space="preserve">Instructor. Brett R. O’Bannon                                                       Office Hours. </w:t>
    </w:r>
  </w:p>
  <w:p w:rsidR="000B197F" w:rsidRDefault="000B197F" w:rsidP="000B197F">
    <w:pPr>
      <w:pStyle w:val="Header"/>
    </w:pPr>
    <w:r>
      <w:t xml:space="preserve">Office 108c Asbury Hall </w:t>
    </w:r>
    <w:r>
      <w:tab/>
      <w:t xml:space="preserve">                                </w:t>
    </w:r>
    <w:r>
      <w:tab/>
      <w:t xml:space="preserve">Tue. &amp; Thur. 11.30-12.30                                </w:t>
    </w:r>
  </w:p>
  <w:p w:rsidR="000B197F" w:rsidRDefault="000B197F" w:rsidP="000B197F">
    <w:pPr>
      <w:pStyle w:val="Header"/>
    </w:pPr>
    <w:r>
      <w:t xml:space="preserve">Phone. (Asbury) x4157                                                                    Wed. 9.30-11.00 </w:t>
    </w:r>
  </w:p>
  <w:p w:rsidR="000B197F" w:rsidRDefault="000B197F" w:rsidP="000B197F">
    <w:pPr>
      <w:pStyle w:val="Header"/>
    </w:pPr>
    <w:r>
      <w:tab/>
      <w:t xml:space="preserve">                                                                                                  And by appointment     </w:t>
    </w:r>
  </w:p>
  <w:p w:rsidR="000B197F" w:rsidRDefault="000B197F" w:rsidP="000B197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09"/>
    <w:multiLevelType w:val="hybridMultilevel"/>
    <w:tmpl w:val="61601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D550C8"/>
    <w:multiLevelType w:val="hybridMultilevel"/>
    <w:tmpl w:val="7B5C1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EFD"/>
    <w:rsid w:val="000B197F"/>
    <w:rsid w:val="00371728"/>
    <w:rsid w:val="00407C19"/>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EF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5EFD"/>
    <w:rPr>
      <w:color w:val="0000FF"/>
      <w:u w:val="single"/>
    </w:rPr>
  </w:style>
  <w:style w:type="table" w:styleId="TableGrid">
    <w:name w:val="Table Grid"/>
    <w:basedOn w:val="TableNormal"/>
    <w:rsid w:val="00FF5EF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34E54"/>
    <w:rPr>
      <w:sz w:val="20"/>
      <w:szCs w:val="20"/>
    </w:rPr>
  </w:style>
  <w:style w:type="character" w:styleId="FootnoteReference">
    <w:name w:val="footnote reference"/>
    <w:basedOn w:val="DefaultParagraphFont"/>
    <w:semiHidden/>
    <w:rsid w:val="00E34E54"/>
    <w:rPr>
      <w:vertAlign w:val="superscript"/>
    </w:rPr>
  </w:style>
  <w:style w:type="paragraph" w:styleId="Header">
    <w:name w:val="header"/>
    <w:basedOn w:val="Normal"/>
    <w:rsid w:val="00291947"/>
    <w:pPr>
      <w:tabs>
        <w:tab w:val="center" w:pos="4320"/>
        <w:tab w:val="right" w:pos="8640"/>
      </w:tabs>
    </w:pPr>
  </w:style>
  <w:style w:type="paragraph" w:styleId="Footer">
    <w:name w:val="footer"/>
    <w:basedOn w:val="Normal"/>
    <w:rsid w:val="00291947"/>
    <w:pPr>
      <w:tabs>
        <w:tab w:val="center" w:pos="4320"/>
        <w:tab w:val="right" w:pos="8640"/>
      </w:tabs>
    </w:pPr>
  </w:style>
  <w:style w:type="character" w:styleId="FollowedHyperlink">
    <w:name w:val="FollowedHyperlink"/>
    <w:basedOn w:val="DefaultParagraphFont"/>
    <w:rsid w:val="00B76375"/>
    <w:rPr>
      <w:color w:val="800080"/>
      <w:u w:val="single"/>
    </w:rPr>
  </w:style>
  <w:style w:type="paragraph" w:styleId="BalloonText">
    <w:name w:val="Balloon Text"/>
    <w:basedOn w:val="Normal"/>
    <w:link w:val="BalloonTextChar"/>
    <w:rsid w:val="00407C19"/>
    <w:rPr>
      <w:rFonts w:ascii="Tahoma" w:hAnsi="Tahoma" w:cs="Tahoma"/>
      <w:sz w:val="16"/>
      <w:szCs w:val="16"/>
    </w:rPr>
  </w:style>
  <w:style w:type="character" w:customStyle="1" w:styleId="BalloonTextChar">
    <w:name w:val="Balloon Text Char"/>
    <w:basedOn w:val="DefaultParagraphFont"/>
    <w:link w:val="BalloonText"/>
    <w:rsid w:val="00407C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EF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5EFD"/>
    <w:rPr>
      <w:color w:val="0000FF"/>
      <w:u w:val="single"/>
    </w:rPr>
  </w:style>
  <w:style w:type="table" w:styleId="TableGrid">
    <w:name w:val="Table Grid"/>
    <w:basedOn w:val="TableNormal"/>
    <w:rsid w:val="00FF5EF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34E54"/>
    <w:rPr>
      <w:sz w:val="20"/>
      <w:szCs w:val="20"/>
    </w:rPr>
  </w:style>
  <w:style w:type="character" w:styleId="FootnoteReference">
    <w:name w:val="footnote reference"/>
    <w:basedOn w:val="DefaultParagraphFont"/>
    <w:semiHidden/>
    <w:rsid w:val="00E34E54"/>
    <w:rPr>
      <w:vertAlign w:val="superscript"/>
    </w:rPr>
  </w:style>
  <w:style w:type="paragraph" w:styleId="Header">
    <w:name w:val="header"/>
    <w:basedOn w:val="Normal"/>
    <w:rsid w:val="00291947"/>
    <w:pPr>
      <w:tabs>
        <w:tab w:val="center" w:pos="4320"/>
        <w:tab w:val="right" w:pos="8640"/>
      </w:tabs>
    </w:pPr>
  </w:style>
  <w:style w:type="paragraph" w:styleId="Footer">
    <w:name w:val="footer"/>
    <w:basedOn w:val="Normal"/>
    <w:rsid w:val="00291947"/>
    <w:pPr>
      <w:tabs>
        <w:tab w:val="center" w:pos="4320"/>
        <w:tab w:val="right" w:pos="8640"/>
      </w:tabs>
    </w:pPr>
  </w:style>
  <w:style w:type="character" w:styleId="FollowedHyperlink">
    <w:name w:val="FollowedHyperlink"/>
    <w:basedOn w:val="DefaultParagraphFont"/>
    <w:rsid w:val="00B76375"/>
    <w:rPr>
      <w:color w:val="800080"/>
      <w:u w:val="single"/>
    </w:rPr>
  </w:style>
  <w:style w:type="paragraph" w:styleId="BalloonText">
    <w:name w:val="Balloon Text"/>
    <w:basedOn w:val="Normal"/>
    <w:link w:val="BalloonTextChar"/>
    <w:rsid w:val="00407C19"/>
    <w:rPr>
      <w:rFonts w:ascii="Tahoma" w:hAnsi="Tahoma" w:cs="Tahoma"/>
      <w:sz w:val="16"/>
      <w:szCs w:val="16"/>
    </w:rPr>
  </w:style>
  <w:style w:type="character" w:customStyle="1" w:styleId="BalloonTextChar">
    <w:name w:val="Balloon Text Char"/>
    <w:basedOn w:val="DefaultParagraphFont"/>
    <w:link w:val="BalloonText"/>
    <w:rsid w:val="00407C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rweb.org/legal/undo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1858</Words>
  <Characters>10591</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12425</CharactersWithSpaces>
  <SharedDoc>false</SharedDoc>
  <HLinks>
    <vt:vector size="6" baseType="variant">
      <vt:variant>
        <vt:i4>8192104</vt:i4>
      </vt:variant>
      <vt:variant>
        <vt:i4>0</vt:i4>
      </vt:variant>
      <vt:variant>
        <vt:i4>0</vt:i4>
      </vt:variant>
      <vt:variant>
        <vt:i4>5</vt:i4>
      </vt:variant>
      <vt:variant>
        <vt:lpwstr>http://www.hrweb.org/legal/undocs.html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Brett O'Bannon</dc:creator>
  <cp:keywords/>
  <dc:description/>
  <cp:lastModifiedBy>DePauw</cp:lastModifiedBy>
  <cp:revision>2</cp:revision>
  <cp:lastPrinted>2013-01-24T14:48:00Z</cp:lastPrinted>
  <dcterms:created xsi:type="dcterms:W3CDTF">2013-01-24T14:48:00Z</dcterms:created>
  <dcterms:modified xsi:type="dcterms:W3CDTF">2013-01-24T14:48:00Z</dcterms:modified>
</cp:coreProperties>
</file>