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66772" w14:textId="0597C37A" w:rsidR="00AD7A22" w:rsidRDefault="00000000" w:rsidP="00D13C69">
      <w:pPr>
        <w:spacing w:before="280" w:after="28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Policy Classification, Scope, and Elevation Framework</w:t>
      </w:r>
    </w:p>
    <w:p w14:paraId="69FB4CB0" w14:textId="77777777" w:rsidR="00AD7A22" w:rsidRDefault="00AD7A22">
      <w:pPr>
        <w:spacing w:after="0" w:line="240" w:lineRule="auto"/>
        <w:rPr>
          <w:rFonts w:ascii="Times New Roman" w:eastAsia="Times New Roman" w:hAnsi="Times New Roman" w:cs="Times New Roman"/>
          <w:sz w:val="24"/>
          <w:szCs w:val="24"/>
        </w:rPr>
      </w:pPr>
    </w:p>
    <w:p w14:paraId="68B9F8B1" w14:textId="77777777" w:rsidR="00AD7A22" w:rsidRDefault="00000000">
      <w:pPr>
        <w:spacing w:before="280" w:after="2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University vs. Divisional Policies</w:t>
      </w:r>
    </w:p>
    <w:p w14:paraId="418688B3" w14:textId="77777777" w:rsidR="00AD7A22" w:rsidRDefault="00000000">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policies should be understood primarily through the lens of who is affected (stakeholders) rather than where they originate organizationally. Policies operate across a network of stakeholders, including students, faculty, staff and community members, and their classification should reflect the breadth and significance of that impact.</w:t>
      </w:r>
    </w:p>
    <w:p w14:paraId="6137122B" w14:textId="77777777" w:rsidR="00AD7A22" w:rsidRDefault="00000000">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w:t>
      </w:r>
      <w:r>
        <w:rPr>
          <w:rFonts w:ascii="Times New Roman" w:eastAsia="Times New Roman" w:hAnsi="Times New Roman" w:cs="Times New Roman"/>
          <w:b/>
          <w:bCs/>
          <w:sz w:val="24"/>
          <w:szCs w:val="24"/>
        </w:rPr>
        <w:t xml:space="preserve">University” </w:t>
      </w:r>
      <w:r>
        <w:rPr>
          <w:rFonts w:ascii="Times New Roman" w:eastAsia="Times New Roman" w:hAnsi="Times New Roman" w:cs="Times New Roman"/>
          <w:sz w:val="24"/>
          <w:szCs w:val="24"/>
        </w:rPr>
        <w:t>policy is policy that applies broadly across the DePauw University community (faculty, staff, students, and guests) and establishes requirements, standards, or expectations governing DePauw’s business operations, conduct, or institutional responsibilities. University policies are intended to promote consistency, compliance, accountability, and effective institutional governance.</w:t>
      </w:r>
    </w:p>
    <w:p w14:paraId="18C0DEFB" w14:textId="77777777" w:rsidR="00AD7A22" w:rsidRDefault="00000000">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most cases, a </w:t>
      </w:r>
      <w:proofErr w:type="gramStart"/>
      <w:r>
        <w:rPr>
          <w:rFonts w:ascii="Times New Roman" w:eastAsia="Times New Roman" w:hAnsi="Times New Roman" w:cs="Times New Roman"/>
          <w:sz w:val="24"/>
          <w:szCs w:val="24"/>
        </w:rPr>
        <w:t>University</w:t>
      </w:r>
      <w:proofErr w:type="gramEnd"/>
      <w:r>
        <w:rPr>
          <w:rFonts w:ascii="Times New Roman" w:eastAsia="Times New Roman" w:hAnsi="Times New Roman" w:cs="Times New Roman"/>
          <w:sz w:val="24"/>
          <w:szCs w:val="24"/>
        </w:rPr>
        <w:t xml:space="preserve"> policy will satisfy several of the following criteria:</w:t>
      </w:r>
    </w:p>
    <w:p w14:paraId="3A36F11E" w14:textId="77777777" w:rsidR="00AD7A22" w:rsidRDefault="00000000">
      <w:pPr>
        <w:numPr>
          <w:ilvl w:val="0"/>
          <w:numId w:val="2"/>
        </w:numPr>
        <w:spacing w:before="280" w:after="0" w:line="240" w:lineRule="auto"/>
        <w:jc w:val="both"/>
      </w:pPr>
      <w:r>
        <w:rPr>
          <w:rFonts w:ascii="Times New Roman" w:eastAsia="Times New Roman" w:hAnsi="Times New Roman" w:cs="Times New Roman"/>
          <w:sz w:val="24"/>
          <w:szCs w:val="24"/>
        </w:rPr>
        <w:t xml:space="preserve">Significantly impact the operations, administration, or conduct of university business; </w:t>
      </w:r>
    </w:p>
    <w:p w14:paraId="68CCCCA2" w14:textId="77777777" w:rsidR="00AD7A22" w:rsidRDefault="00000000">
      <w:pPr>
        <w:numPr>
          <w:ilvl w:val="0"/>
          <w:numId w:val="2"/>
        </w:numPr>
        <w:spacing w:after="0" w:line="240" w:lineRule="auto"/>
        <w:jc w:val="both"/>
      </w:pPr>
      <w:r>
        <w:rPr>
          <w:rFonts w:ascii="Times New Roman" w:eastAsia="Times New Roman" w:hAnsi="Times New Roman" w:cs="Times New Roman"/>
          <w:sz w:val="24"/>
          <w:szCs w:val="24"/>
        </w:rPr>
        <w:t xml:space="preserve">Address the health and safety of individuals or the protection of university property; </w:t>
      </w:r>
    </w:p>
    <w:p w14:paraId="13D360A9" w14:textId="77777777" w:rsidR="00AD7A22" w:rsidRDefault="00000000">
      <w:pPr>
        <w:numPr>
          <w:ilvl w:val="0"/>
          <w:numId w:val="2"/>
        </w:numPr>
        <w:spacing w:after="0" w:line="240" w:lineRule="auto"/>
        <w:jc w:val="both"/>
      </w:pPr>
      <w:r>
        <w:rPr>
          <w:rFonts w:ascii="Times New Roman" w:eastAsia="Times New Roman" w:hAnsi="Times New Roman" w:cs="Times New Roman"/>
          <w:sz w:val="24"/>
          <w:szCs w:val="24"/>
        </w:rPr>
        <w:t xml:space="preserve">Be necessary to ensure compliance with applicable laws, regulations, or governing requirements; </w:t>
      </w:r>
    </w:p>
    <w:p w14:paraId="2F2FE5E6" w14:textId="77777777" w:rsidR="00AD7A22" w:rsidRDefault="00000000">
      <w:pPr>
        <w:numPr>
          <w:ilvl w:val="0"/>
          <w:numId w:val="2"/>
        </w:numPr>
        <w:spacing w:after="0" w:line="240" w:lineRule="auto"/>
        <w:jc w:val="both"/>
      </w:pPr>
      <w:r>
        <w:rPr>
          <w:rFonts w:ascii="Times New Roman" w:eastAsia="Times New Roman" w:hAnsi="Times New Roman" w:cs="Times New Roman"/>
          <w:sz w:val="24"/>
          <w:szCs w:val="24"/>
        </w:rPr>
        <w:t xml:space="preserve">Advance the DePauw’s mission, strategic objectives, or institutional interests, and/or mitigate institutional risk; and </w:t>
      </w:r>
    </w:p>
    <w:p w14:paraId="5B936C5D" w14:textId="77777777" w:rsidR="00AD7A22" w:rsidRDefault="00000000">
      <w:pPr>
        <w:numPr>
          <w:ilvl w:val="0"/>
          <w:numId w:val="2"/>
        </w:numPr>
        <w:spacing w:after="280" w:line="240" w:lineRule="auto"/>
        <w:jc w:val="both"/>
      </w:pPr>
      <w:r>
        <w:rPr>
          <w:rFonts w:ascii="Times New Roman" w:eastAsia="Times New Roman" w:hAnsi="Times New Roman" w:cs="Times New Roman"/>
          <w:sz w:val="24"/>
          <w:szCs w:val="24"/>
        </w:rPr>
        <w:t xml:space="preserve">Materially affects multiple stakeholder groups DePauw as a whole. </w:t>
      </w:r>
    </w:p>
    <w:p w14:paraId="41B11463" w14:textId="77777777" w:rsidR="00AD7A22" w:rsidRDefault="00000000">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presence of a single criterion alone does not necessarily designate a policy as a </w:t>
      </w:r>
      <w:proofErr w:type="gramStart"/>
      <w:r>
        <w:rPr>
          <w:rFonts w:ascii="Times New Roman" w:eastAsia="Times New Roman" w:hAnsi="Times New Roman" w:cs="Times New Roman"/>
          <w:sz w:val="24"/>
          <w:szCs w:val="24"/>
        </w:rPr>
        <w:t>University</w:t>
      </w:r>
      <w:proofErr w:type="gramEnd"/>
      <w:r>
        <w:rPr>
          <w:rFonts w:ascii="Times New Roman" w:eastAsia="Times New Roman" w:hAnsi="Times New Roman" w:cs="Times New Roman"/>
          <w:sz w:val="24"/>
          <w:szCs w:val="24"/>
        </w:rPr>
        <w:t xml:space="preserve"> policy; rather, these policies are generally characterized by broad institutional applicability and substantial operational or compliance significance.</w:t>
      </w:r>
    </w:p>
    <w:p w14:paraId="4167E352" w14:textId="77777777" w:rsidR="00AD7A22" w:rsidRDefault="00000000">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policies establish consistent expectations, protect rights, ensure legal compliance, and mitigate institutional risk. Because of their broad impact, they require centralized governance, cross-functional input, and final approval from the President’s Cabinet to ensure alignment with the University’s mission, legal obligations, and strategic priorities.</w:t>
      </w:r>
    </w:p>
    <w:p w14:paraId="498893F6" w14:textId="77777777" w:rsidR="00AD7A22" w:rsidRDefault="00000000">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critical distinction, therefore, is not where the policy sits administratively, but how broadly it impacts stakeholders and what level of risk it creates. Policies often originate in a localized context but should be reevaluated when their effects expand across stakeholder groups or implicate broader institutional concerns.</w:t>
      </w:r>
    </w:p>
    <w:p w14:paraId="17A10FAC" w14:textId="45B681A0" w:rsidR="00AD7A22" w:rsidRDefault="00000000" w:rsidP="00D13C69">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b/>
          <w:bCs/>
          <w:sz w:val="24"/>
          <w:szCs w:val="24"/>
        </w:rPr>
        <w:t xml:space="preserve"> “</w:t>
      </w:r>
      <w:r w:rsidR="00D13C69">
        <w:rPr>
          <w:rFonts w:ascii="Times New Roman" w:eastAsia="Times New Roman" w:hAnsi="Times New Roman" w:cs="Times New Roman"/>
          <w:b/>
          <w:bCs/>
          <w:sz w:val="24"/>
          <w:szCs w:val="24"/>
        </w:rPr>
        <w:t>Divisional” policy</w:t>
      </w:r>
      <w:r>
        <w:rPr>
          <w:rFonts w:ascii="Times New Roman" w:eastAsia="Times New Roman" w:hAnsi="Times New Roman" w:cs="Times New Roman"/>
          <w:sz w:val="24"/>
          <w:szCs w:val="24"/>
        </w:rPr>
        <w:t xml:space="preserve"> generally addresses an operational matter within a division’s assigned authority and is administered primarily by that division. It may establish detailed procedures or standards for a particular function, such as </w:t>
      </w:r>
      <w:r w:rsidR="00D13C69">
        <w:rPr>
          <w:rFonts w:ascii="Times New Roman" w:eastAsia="Times New Roman" w:hAnsi="Times New Roman" w:cs="Times New Roman"/>
          <w:sz w:val="24"/>
          <w:szCs w:val="24"/>
        </w:rPr>
        <w:t>a departmental</w:t>
      </w:r>
      <w:r>
        <w:rPr>
          <w:rFonts w:ascii="Times New Roman" w:eastAsia="Times New Roman" w:hAnsi="Times New Roman" w:cs="Times New Roman"/>
          <w:sz w:val="24"/>
          <w:szCs w:val="24"/>
        </w:rPr>
        <w:t xml:space="preserve"> workflow or an administrative practice.</w:t>
      </w:r>
    </w:p>
    <w:p w14:paraId="18E30205" w14:textId="77777777" w:rsidR="00AD7A22" w:rsidRDefault="00000000" w:rsidP="00D13C69">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policy should not be classified as divisional solely based on the number or location of the people it affects. A divisional policy may apply to individuals across the University while remaining within the authority of the division responsible for administering it. For example, a mileage reimbursement rate may apply campus-wide but remain a divisional policy because it concerns a detailed financial practice administered by the responsible division.</w:t>
      </w:r>
    </w:p>
    <w:p w14:paraId="57D126B3" w14:textId="77777777" w:rsidR="00AD7A22" w:rsidRDefault="00000000" w:rsidP="00D13C69">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determining whether a policy should be classified as divisional or University-wide, the following factors should be considered:</w:t>
      </w:r>
    </w:p>
    <w:p w14:paraId="0DC6734D" w14:textId="77777777" w:rsidR="00AD7A22" w:rsidRDefault="00000000" w:rsidP="00D13C69">
      <w:pPr>
        <w:numPr>
          <w:ilvl w:val="0"/>
          <w:numId w:val="1"/>
        </w:num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office or division responsible for the subject matter;</w:t>
      </w:r>
    </w:p>
    <w:p w14:paraId="11421563" w14:textId="77777777" w:rsidR="00AD7A22" w:rsidRDefault="00000000" w:rsidP="00D13C69">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Whether the policy establishes an operational practice or a broader institutional standard;</w:t>
      </w:r>
    </w:p>
    <w:p w14:paraId="2F3B2439" w14:textId="77777777" w:rsidR="00AD7A22" w:rsidRDefault="00000000" w:rsidP="00D13C69">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scope and nature of its impact;</w:t>
      </w:r>
    </w:p>
    <w:p w14:paraId="0AE96D76" w14:textId="77777777" w:rsidR="00AD7A22" w:rsidRDefault="00000000" w:rsidP="00D13C69">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Whether implementation requires coordination among multiple divisions;</w:t>
      </w:r>
    </w:p>
    <w:p w14:paraId="3818F7AC" w14:textId="77777777" w:rsidR="00AD7A22" w:rsidRDefault="00000000" w:rsidP="00D13C69">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Whether the policy establishes University-wide rights, responsibilities, or expectations; and </w:t>
      </w:r>
    </w:p>
    <w:p w14:paraId="30E256FB" w14:textId="77777777" w:rsidR="00AD7A22" w:rsidRDefault="00000000" w:rsidP="00D13C69">
      <w:pPr>
        <w:numPr>
          <w:ilvl w:val="0"/>
          <w:numId w:val="1"/>
        </w:num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Whether executive or Cabinet-level approval is appropriate.</w:t>
      </w:r>
    </w:p>
    <w:p w14:paraId="762F9852" w14:textId="77777777" w:rsidR="00AD7A22" w:rsidRDefault="00000000" w:rsidP="00D13C69">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divisional policy should be considered for elevation to a </w:t>
      </w:r>
      <w:proofErr w:type="gramStart"/>
      <w:r>
        <w:rPr>
          <w:rFonts w:ascii="Times New Roman" w:eastAsia="Times New Roman" w:hAnsi="Times New Roman" w:cs="Times New Roman"/>
          <w:sz w:val="24"/>
          <w:szCs w:val="24"/>
        </w:rPr>
        <w:t>University</w:t>
      </w:r>
      <w:proofErr w:type="gramEnd"/>
      <w:r>
        <w:rPr>
          <w:rFonts w:ascii="Times New Roman" w:eastAsia="Times New Roman" w:hAnsi="Times New Roman" w:cs="Times New Roman"/>
          <w:sz w:val="24"/>
          <w:szCs w:val="24"/>
        </w:rPr>
        <w:t xml:space="preserve"> policy when it extends beyond the originating division’s authority, establishes institution-wide rights or responsibilities, requires substantial cross-divisional coordination, or presents significant institutional risk.</w:t>
      </w:r>
    </w:p>
    <w:p w14:paraId="1AF38A63" w14:textId="77777777" w:rsidR="00AD7A22" w:rsidRDefault="00000000" w:rsidP="00D13C69">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those circumstances are present, the policy should proceed through the University’s formal review process, including appropriate stakeholder consultation, executive endorsement, and Cabinet approval. This approach preserves operational flexibility while ensuring that policies with broader institutional significance receive an appropriate level of review and oversight.</w:t>
      </w:r>
    </w:p>
    <w:p w14:paraId="0C10B08A" w14:textId="77777777" w:rsidR="00AD7A22" w:rsidRDefault="00000000">
      <w:pPr>
        <w:spacing w:before="280" w:after="28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 Decision Framework (Stakeholder Impact and Elevation)</w:t>
      </w:r>
    </w:p>
    <w:p w14:paraId="775156ED" w14:textId="77777777" w:rsidR="00AD7A22" w:rsidRDefault="00000000">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determine whether an existing policy should be categorized as a </w:t>
      </w:r>
      <w:proofErr w:type="gramStart"/>
      <w:r>
        <w:rPr>
          <w:rFonts w:ascii="Times New Roman" w:eastAsia="Times New Roman" w:hAnsi="Times New Roman" w:cs="Times New Roman"/>
          <w:sz w:val="24"/>
          <w:szCs w:val="24"/>
        </w:rPr>
        <w:t>University</w:t>
      </w:r>
      <w:proofErr w:type="gramEnd"/>
      <w:r>
        <w:rPr>
          <w:rFonts w:ascii="Times New Roman" w:eastAsia="Times New Roman" w:hAnsi="Times New Roman" w:cs="Times New Roman"/>
          <w:sz w:val="24"/>
          <w:szCs w:val="24"/>
        </w:rPr>
        <w:t xml:space="preserve"> policy or a Divisional policy, the analysis should focus not only on </w:t>
      </w:r>
      <w:r>
        <w:rPr>
          <w:rFonts w:ascii="Times New Roman" w:eastAsia="Times New Roman" w:hAnsi="Times New Roman" w:cs="Times New Roman"/>
          <w:i/>
          <w:iCs/>
          <w:sz w:val="24"/>
          <w:szCs w:val="24"/>
        </w:rPr>
        <w:t>which</w:t>
      </w:r>
      <w:r>
        <w:rPr>
          <w:rFonts w:ascii="Times New Roman" w:eastAsia="Times New Roman" w:hAnsi="Times New Roman" w:cs="Times New Roman"/>
          <w:sz w:val="24"/>
          <w:szCs w:val="24"/>
        </w:rPr>
        <w:t xml:space="preserve"> stakeholder groups are affected, but also on the policy’s overall scope, significance, and institutional impact. Accordingly, the threshold inquiry should be: </w:t>
      </w:r>
    </w:p>
    <w:p w14:paraId="0680B62A" w14:textId="77777777" w:rsidR="00AD7A22" w:rsidRDefault="00000000">
      <w:pPr>
        <w:spacing w:before="280" w:after="2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Does the policy have broad institutional significance, substantial operational impact, or meaningful consequences for the University community, regardless of the number of stakeholder groups affected? </w:t>
      </w:r>
    </w:p>
    <w:p w14:paraId="12D92AAC" w14:textId="77777777" w:rsidR="00AD7A22" w:rsidRDefault="00000000">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evaluating that question, consider the following:</w:t>
      </w:r>
    </w:p>
    <w:p w14:paraId="3046D1EA" w14:textId="77777777" w:rsidR="00AD7A22" w:rsidRDefault="00000000">
      <w:pPr>
        <w:numPr>
          <w:ilvl w:val="0"/>
          <w:numId w:val="3"/>
        </w:numPr>
        <w:spacing w:before="280" w:after="0" w:line="240" w:lineRule="auto"/>
        <w:jc w:val="both"/>
      </w:pPr>
      <w:r>
        <w:rPr>
          <w:rFonts w:ascii="Times New Roman" w:eastAsia="Times New Roman" w:hAnsi="Times New Roman" w:cs="Times New Roman"/>
          <w:sz w:val="24"/>
          <w:szCs w:val="24"/>
        </w:rPr>
        <w:t xml:space="preserve">Does the policy affect the rights, responsibilities, access, protections, or status of a significant portion of the University community? </w:t>
      </w:r>
    </w:p>
    <w:p w14:paraId="27EFD826" w14:textId="77777777" w:rsidR="00AD7A22" w:rsidRDefault="00000000">
      <w:pPr>
        <w:numPr>
          <w:ilvl w:val="0"/>
          <w:numId w:val="3"/>
        </w:numPr>
        <w:spacing w:after="0" w:line="240" w:lineRule="auto"/>
        <w:jc w:val="both"/>
      </w:pPr>
      <w:r>
        <w:rPr>
          <w:rFonts w:ascii="Times New Roman" w:eastAsia="Times New Roman" w:hAnsi="Times New Roman" w:cs="Times New Roman"/>
          <w:sz w:val="24"/>
          <w:szCs w:val="24"/>
        </w:rPr>
        <w:t xml:space="preserve">Would inconsistent application create confusion, inequity, compliance concerns, or institutional inconsistency? </w:t>
      </w:r>
    </w:p>
    <w:p w14:paraId="3743F0FD" w14:textId="77777777" w:rsidR="00AD7A22" w:rsidRDefault="00000000">
      <w:pPr>
        <w:numPr>
          <w:ilvl w:val="0"/>
          <w:numId w:val="3"/>
        </w:numPr>
        <w:spacing w:after="0" w:line="240" w:lineRule="auto"/>
        <w:jc w:val="both"/>
      </w:pPr>
      <w:r>
        <w:rPr>
          <w:rFonts w:ascii="Times New Roman" w:eastAsia="Times New Roman" w:hAnsi="Times New Roman" w:cs="Times New Roman"/>
          <w:sz w:val="24"/>
          <w:szCs w:val="24"/>
        </w:rPr>
        <w:t xml:space="preserve">Is the policy likely to be reviewed, relied upon, or scrutinized by external stakeholders, including regulators, accreditors, courts, auditors, donors, or the public? </w:t>
      </w:r>
    </w:p>
    <w:p w14:paraId="4480E2D1" w14:textId="77777777" w:rsidR="00AD7A22" w:rsidRDefault="00000000">
      <w:pPr>
        <w:numPr>
          <w:ilvl w:val="0"/>
          <w:numId w:val="3"/>
        </w:numPr>
        <w:spacing w:after="280" w:line="240" w:lineRule="auto"/>
        <w:jc w:val="both"/>
      </w:pPr>
      <w:r>
        <w:rPr>
          <w:rFonts w:ascii="Times New Roman" w:eastAsia="Times New Roman" w:hAnsi="Times New Roman" w:cs="Times New Roman"/>
          <w:sz w:val="24"/>
          <w:szCs w:val="24"/>
        </w:rPr>
        <w:t xml:space="preserve">Does the policy establish standards or expectations that carry implications beyond a single operational function or department? </w:t>
      </w:r>
    </w:p>
    <w:p w14:paraId="1F8A3BA7" w14:textId="77777777" w:rsidR="00AD7A22" w:rsidRDefault="00000000">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If the answer to one or more of these considerations is yes, the policy should generally be treated as a University Policy. If the policy is operationally limited, affects only a small or specialized population, and presents minimal institutional impact or risk, it may remain a divisional policy, subject to periodic review as its scope or implications evolve.</w:t>
      </w:r>
    </w:p>
    <w:p w14:paraId="151F3356" w14:textId="77777777" w:rsidR="00AD7A22"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 Balancing Framework for Policy Classification</w:t>
      </w:r>
    </w:p>
    <w:p w14:paraId="69013086" w14:textId="77777777" w:rsidR="00AD7A22"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When assessment factors produce mixed results, classification should not default to retaining a policy at the divisional level. Instead, a </w:t>
      </w:r>
      <w:r>
        <w:rPr>
          <w:rFonts w:ascii="Times New Roman" w:eastAsia="Times New Roman" w:hAnsi="Times New Roman" w:cs="Times New Roman"/>
          <w:b/>
          <w:bCs/>
          <w:color w:val="000000"/>
          <w:sz w:val="24"/>
          <w:szCs w:val="24"/>
        </w:rPr>
        <w:t>risk-based, stakeholder-informed analysis</w:t>
      </w:r>
      <w:r>
        <w:rPr>
          <w:rFonts w:ascii="Times New Roman" w:eastAsia="Times New Roman" w:hAnsi="Times New Roman" w:cs="Times New Roman"/>
          <w:color w:val="000000"/>
          <w:sz w:val="24"/>
          <w:szCs w:val="24"/>
        </w:rPr>
        <w:t xml:space="preserve"> should be applied to determine whether elevation to a university-wide policy is warranted.</w:t>
      </w:r>
    </w:p>
    <w:p w14:paraId="6DAF6D0D" w14:textId="77777777" w:rsidR="00AD7A22"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 Determinative Factors (High Weight)</w:t>
      </w:r>
      <w:r>
        <w:rPr>
          <w:rFonts w:ascii="Times New Roman" w:eastAsia="Times New Roman" w:hAnsi="Times New Roman" w:cs="Times New Roman"/>
          <w:color w:val="000000"/>
          <w:sz w:val="24"/>
          <w:szCs w:val="24"/>
        </w:rPr>
        <w:br/>
        <w:t xml:space="preserve">The presence of any of the following strongly supports elevation to a </w:t>
      </w:r>
      <w:proofErr w:type="gramStart"/>
      <w:r>
        <w:rPr>
          <w:rFonts w:ascii="Times New Roman" w:eastAsia="Times New Roman" w:hAnsi="Times New Roman" w:cs="Times New Roman"/>
          <w:color w:val="000000"/>
          <w:sz w:val="24"/>
          <w:szCs w:val="24"/>
        </w:rPr>
        <w:t>University</w:t>
      </w:r>
      <w:proofErr w:type="gramEnd"/>
      <w:r>
        <w:rPr>
          <w:rFonts w:ascii="Times New Roman" w:eastAsia="Times New Roman" w:hAnsi="Times New Roman" w:cs="Times New Roman"/>
          <w:color w:val="000000"/>
          <w:sz w:val="24"/>
          <w:szCs w:val="24"/>
        </w:rPr>
        <w:t xml:space="preserve"> policy:</w:t>
      </w:r>
    </w:p>
    <w:p w14:paraId="7DF78CE5" w14:textId="77777777" w:rsidR="00AD7A22" w:rsidRDefault="00000000">
      <w:pPr>
        <w:numPr>
          <w:ilvl w:val="0"/>
          <w:numId w:val="4"/>
        </w:numPr>
        <w:spacing w:before="280" w:after="0" w:line="240" w:lineRule="auto"/>
        <w:rPr>
          <w:color w:val="000000"/>
        </w:rPr>
      </w:pPr>
      <w:r>
        <w:rPr>
          <w:rFonts w:ascii="Times New Roman" w:eastAsia="Times New Roman" w:hAnsi="Times New Roman" w:cs="Times New Roman"/>
          <w:color w:val="000000"/>
          <w:sz w:val="24"/>
          <w:szCs w:val="24"/>
        </w:rPr>
        <w:t>Legal or regulatory compliance obligations </w:t>
      </w:r>
    </w:p>
    <w:p w14:paraId="1CE53317" w14:textId="77777777" w:rsidR="00AD7A22" w:rsidRDefault="00000000">
      <w:pPr>
        <w:numPr>
          <w:ilvl w:val="0"/>
          <w:numId w:val="4"/>
        </w:numPr>
        <w:spacing w:after="0" w:line="240" w:lineRule="auto"/>
        <w:rPr>
          <w:color w:val="000000"/>
        </w:rPr>
      </w:pPr>
      <w:r>
        <w:rPr>
          <w:rFonts w:ascii="Times New Roman" w:eastAsia="Times New Roman" w:hAnsi="Times New Roman" w:cs="Times New Roman"/>
          <w:color w:val="000000"/>
          <w:sz w:val="24"/>
          <w:szCs w:val="24"/>
        </w:rPr>
        <w:t>Protection of individual rights </w:t>
      </w:r>
    </w:p>
    <w:p w14:paraId="1FE5C39D" w14:textId="77777777" w:rsidR="00AD7A22" w:rsidRDefault="00000000">
      <w:pPr>
        <w:numPr>
          <w:ilvl w:val="0"/>
          <w:numId w:val="4"/>
        </w:numPr>
        <w:spacing w:after="280" w:line="240" w:lineRule="auto"/>
        <w:rPr>
          <w:color w:val="000000"/>
        </w:rPr>
      </w:pPr>
      <w:r>
        <w:rPr>
          <w:rFonts w:ascii="Times New Roman" w:eastAsia="Times New Roman" w:hAnsi="Times New Roman" w:cs="Times New Roman"/>
          <w:color w:val="000000"/>
          <w:sz w:val="24"/>
          <w:szCs w:val="24"/>
        </w:rPr>
        <w:t>External reliance by regulators, government entities, or third parties </w:t>
      </w:r>
    </w:p>
    <w:p w14:paraId="4C8E11BC" w14:textId="77777777" w:rsidR="00AD7A22"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2. Significant Factors (Moderate Weight)</w:t>
      </w:r>
      <w:r>
        <w:rPr>
          <w:rFonts w:ascii="Times New Roman" w:eastAsia="Times New Roman" w:hAnsi="Times New Roman" w:cs="Times New Roman"/>
          <w:color w:val="000000"/>
          <w:sz w:val="24"/>
          <w:szCs w:val="24"/>
        </w:rPr>
        <w:br/>
        <w:t>Elevation is generally appropriate where one or more of the following are present, particularly in combination:</w:t>
      </w:r>
    </w:p>
    <w:p w14:paraId="014B3FE1" w14:textId="77777777" w:rsidR="00AD7A22" w:rsidRDefault="00000000">
      <w:pPr>
        <w:numPr>
          <w:ilvl w:val="0"/>
          <w:numId w:val="5"/>
        </w:numPr>
        <w:spacing w:before="280" w:after="0" w:line="240" w:lineRule="auto"/>
        <w:rPr>
          <w:color w:val="000000"/>
        </w:rPr>
      </w:pPr>
      <w:r>
        <w:rPr>
          <w:rFonts w:ascii="Times New Roman" w:eastAsia="Times New Roman" w:hAnsi="Times New Roman" w:cs="Times New Roman"/>
          <w:color w:val="000000"/>
          <w:sz w:val="24"/>
          <w:szCs w:val="24"/>
        </w:rPr>
        <w:t>Institutional risk exposure (legal, financial, or reputational) </w:t>
      </w:r>
    </w:p>
    <w:p w14:paraId="3EDE4167" w14:textId="77777777" w:rsidR="00AD7A22" w:rsidRDefault="00000000">
      <w:pPr>
        <w:numPr>
          <w:ilvl w:val="0"/>
          <w:numId w:val="5"/>
        </w:numPr>
        <w:spacing w:after="0" w:line="240" w:lineRule="auto"/>
        <w:rPr>
          <w:color w:val="000000"/>
        </w:rPr>
      </w:pPr>
      <w:r>
        <w:rPr>
          <w:rFonts w:ascii="Times New Roman" w:eastAsia="Times New Roman" w:hAnsi="Times New Roman" w:cs="Times New Roman"/>
          <w:color w:val="000000"/>
          <w:sz w:val="24"/>
          <w:szCs w:val="24"/>
        </w:rPr>
        <w:t>Impact across multiple units, departments, or stakeholder groups </w:t>
      </w:r>
    </w:p>
    <w:p w14:paraId="6F7FDBC4" w14:textId="77777777" w:rsidR="00AD7A22" w:rsidRDefault="00000000">
      <w:pPr>
        <w:numPr>
          <w:ilvl w:val="0"/>
          <w:numId w:val="5"/>
        </w:numPr>
        <w:spacing w:after="280" w:line="240" w:lineRule="auto"/>
        <w:rPr>
          <w:color w:val="000000"/>
        </w:rPr>
      </w:pPr>
      <w:r>
        <w:rPr>
          <w:rFonts w:ascii="Times New Roman" w:eastAsia="Times New Roman" w:hAnsi="Times New Roman" w:cs="Times New Roman"/>
          <w:color w:val="000000"/>
          <w:sz w:val="24"/>
          <w:szCs w:val="24"/>
        </w:rPr>
        <w:t>Need for consistency in interpretation or application </w:t>
      </w:r>
    </w:p>
    <w:p w14:paraId="171EE139" w14:textId="77777777" w:rsidR="00AD7A22"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3. Operational Factors (Lower Weight)</w:t>
      </w:r>
      <w:r>
        <w:rPr>
          <w:rFonts w:ascii="Times New Roman" w:eastAsia="Times New Roman" w:hAnsi="Times New Roman" w:cs="Times New Roman"/>
          <w:color w:val="000000"/>
          <w:sz w:val="24"/>
          <w:szCs w:val="24"/>
        </w:rPr>
        <w:br/>
        <w:t>Policies may remain at the divisional level, subject to appropriate oversight, where considerations are primarily limited to:</w:t>
      </w:r>
    </w:p>
    <w:p w14:paraId="16B2F44B" w14:textId="77777777" w:rsidR="00AD7A22" w:rsidRDefault="00000000">
      <w:pPr>
        <w:numPr>
          <w:ilvl w:val="0"/>
          <w:numId w:val="6"/>
        </w:numPr>
        <w:spacing w:before="280" w:after="0" w:line="240" w:lineRule="auto"/>
        <w:rPr>
          <w:color w:val="000000"/>
        </w:rPr>
      </w:pPr>
      <w:r>
        <w:rPr>
          <w:rFonts w:ascii="Times New Roman" w:eastAsia="Times New Roman" w:hAnsi="Times New Roman" w:cs="Times New Roman"/>
          <w:color w:val="000000"/>
          <w:sz w:val="24"/>
          <w:szCs w:val="24"/>
        </w:rPr>
        <w:t>Internal operational preferences </w:t>
      </w:r>
    </w:p>
    <w:p w14:paraId="6A5297A4" w14:textId="77777777" w:rsidR="00AD7A22" w:rsidRDefault="00000000">
      <w:pPr>
        <w:numPr>
          <w:ilvl w:val="0"/>
          <w:numId w:val="6"/>
        </w:numPr>
        <w:spacing w:after="280" w:line="240" w:lineRule="auto"/>
        <w:rPr>
          <w:color w:val="000000"/>
        </w:rPr>
      </w:pPr>
      <w:r>
        <w:rPr>
          <w:rFonts w:ascii="Times New Roman" w:eastAsia="Times New Roman" w:hAnsi="Times New Roman" w:cs="Times New Roman"/>
          <w:color w:val="000000"/>
          <w:sz w:val="24"/>
          <w:szCs w:val="24"/>
        </w:rPr>
        <w:t>Efficiency or administrative convenience within a discrete unit </w:t>
      </w:r>
    </w:p>
    <w:p w14:paraId="7D9069D5" w14:textId="77777777" w:rsidR="00AD7A22" w:rsidRDefault="00000000">
      <w:pPr>
        <w:spacing w:before="280" w:after="28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4. Presumption and Resolution of Close Cases</w:t>
      </w:r>
      <w:r>
        <w:rPr>
          <w:rFonts w:ascii="Times New Roman" w:eastAsia="Times New Roman" w:hAnsi="Times New Roman" w:cs="Times New Roman"/>
          <w:color w:val="000000"/>
          <w:sz w:val="24"/>
          <w:szCs w:val="24"/>
        </w:rPr>
        <w:t>.</w:t>
      </w:r>
      <w:r>
        <w:t xml:space="preserve"> </w:t>
      </w:r>
      <w:r>
        <w:rPr>
          <w:rFonts w:ascii="Times New Roman" w:eastAsia="Times New Roman" w:hAnsi="Times New Roman" w:cs="Times New Roman"/>
          <w:color w:val="000000"/>
          <w:sz w:val="24"/>
          <w:szCs w:val="24"/>
        </w:rPr>
        <w:t xml:space="preserve">If it is unclear whether a policy should remain Divisional or become a </w:t>
      </w:r>
      <w:proofErr w:type="gramStart"/>
      <w:r>
        <w:rPr>
          <w:rFonts w:ascii="Times New Roman" w:eastAsia="Times New Roman" w:hAnsi="Times New Roman" w:cs="Times New Roman"/>
          <w:color w:val="000000"/>
          <w:sz w:val="24"/>
          <w:szCs w:val="24"/>
        </w:rPr>
        <w:t>University</w:t>
      </w:r>
      <w:proofErr w:type="gramEnd"/>
      <w:r>
        <w:rPr>
          <w:rFonts w:ascii="Times New Roman" w:eastAsia="Times New Roman" w:hAnsi="Times New Roman" w:cs="Times New Roman"/>
          <w:color w:val="000000"/>
          <w:sz w:val="24"/>
          <w:szCs w:val="24"/>
        </w:rPr>
        <w:t xml:space="preserve"> policy, the matter should be brought to the Compliance Partner Network (CPN) for review and discussion. The CPN may evaluate the policy’s scope, significance, and institutional implications and make a recommendation regarding the appropriate classification before the policy advances through the approval process.</w:t>
      </w:r>
    </w:p>
    <w:p w14:paraId="283908DE" w14:textId="77777777" w:rsidR="00AD7A22" w:rsidRDefault="00000000">
      <w:pPr>
        <w:spacing w:after="280" w:line="240" w:lineRule="auto"/>
        <w:rPr>
          <w:rFonts w:ascii="Times New Roman" w:eastAsia="Times New Roman" w:hAnsi="Times New Roman" w:cs="Times New Roman"/>
          <w:b/>
          <w:bCs/>
        </w:rPr>
      </w:pPr>
      <w:r>
        <w:rPr>
          <w:rFonts w:ascii="Times New Roman" w:eastAsia="Times New Roman" w:hAnsi="Times New Roman" w:cs="Times New Roman"/>
          <w:b/>
          <w:bCs/>
          <w:sz w:val="24"/>
          <w:szCs w:val="24"/>
        </w:rPr>
        <w:t>D. DePauw University Policy Classification Examples</w:t>
      </w:r>
    </w:p>
    <w:tbl>
      <w:tblPr>
        <w:tblStyle w:val="a0"/>
        <w:tblW w:w="9344" w:type="dxa"/>
        <w:tblInd w:w="0" w:type="dxa"/>
        <w:tblLayout w:type="fixed"/>
        <w:tblLook w:val="0400" w:firstRow="0" w:lastRow="0" w:firstColumn="0" w:lastColumn="0" w:noHBand="0" w:noVBand="1"/>
      </w:tblPr>
      <w:tblGrid>
        <w:gridCol w:w="3101"/>
        <w:gridCol w:w="1378"/>
        <w:gridCol w:w="4865"/>
      </w:tblGrid>
      <w:tr w:rsidR="00AD7A22" w14:paraId="1700246A" w14:textId="77777777">
        <w:trPr>
          <w:tblHeader/>
        </w:trPr>
        <w:tc>
          <w:tcPr>
            <w:tcW w:w="3101" w:type="dxa"/>
            <w:tcBorders>
              <w:top w:val="single" w:sz="6" w:space="0" w:color="000000"/>
              <w:left w:val="single" w:sz="6" w:space="0" w:color="000000"/>
              <w:bottom w:val="single" w:sz="6" w:space="0" w:color="000000"/>
              <w:right w:val="single" w:sz="6" w:space="0" w:color="000000"/>
            </w:tcBorders>
            <w:vAlign w:val="center"/>
          </w:tcPr>
          <w:p w14:paraId="2F15E31F"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t>Policy Topic (Functional Area)</w:t>
            </w:r>
          </w:p>
        </w:tc>
        <w:tc>
          <w:tcPr>
            <w:tcW w:w="1378" w:type="dxa"/>
            <w:tcBorders>
              <w:top w:val="single" w:sz="6" w:space="0" w:color="000000"/>
              <w:left w:val="single" w:sz="6" w:space="0" w:color="000000"/>
              <w:bottom w:val="single" w:sz="6" w:space="0" w:color="000000"/>
              <w:right w:val="single" w:sz="6" w:space="0" w:color="000000"/>
            </w:tcBorders>
            <w:vAlign w:val="center"/>
          </w:tcPr>
          <w:p w14:paraId="75B6F81F"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t>Classification</w:t>
            </w:r>
          </w:p>
        </w:tc>
        <w:tc>
          <w:tcPr>
            <w:tcW w:w="4865" w:type="dxa"/>
            <w:tcBorders>
              <w:top w:val="single" w:sz="6" w:space="0" w:color="000000"/>
              <w:left w:val="single" w:sz="6" w:space="0" w:color="000000"/>
              <w:bottom w:val="single" w:sz="6" w:space="0" w:color="000000"/>
              <w:right w:val="single" w:sz="6" w:space="0" w:color="000000"/>
            </w:tcBorders>
            <w:vAlign w:val="center"/>
          </w:tcPr>
          <w:p w14:paraId="0759B1A1"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t>Rationale ("Why")</w:t>
            </w:r>
          </w:p>
        </w:tc>
      </w:tr>
      <w:tr w:rsidR="00AD7A22" w14:paraId="67FC2C31" w14:textId="77777777">
        <w:tc>
          <w:tcPr>
            <w:tcW w:w="3101" w:type="dxa"/>
            <w:tcBorders>
              <w:top w:val="single" w:sz="6" w:space="0" w:color="000000"/>
              <w:left w:val="single" w:sz="6" w:space="0" w:color="000000"/>
              <w:bottom w:val="single" w:sz="6" w:space="0" w:color="000000"/>
              <w:right w:val="single" w:sz="6" w:space="0" w:color="000000"/>
            </w:tcBorders>
            <w:vAlign w:val="center"/>
          </w:tcPr>
          <w:p w14:paraId="7B81AF73"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t>Conflict of Interest</w:t>
            </w:r>
            <w:r>
              <w:rPr>
                <w:rFonts w:ascii="Times New Roman" w:eastAsia="Times New Roman" w:hAnsi="Times New Roman" w:cs="Times New Roman"/>
              </w:rPr>
              <w:t xml:space="preserve"> (Governance Policies)</w:t>
            </w:r>
          </w:p>
        </w:tc>
        <w:tc>
          <w:tcPr>
            <w:tcW w:w="1378" w:type="dxa"/>
            <w:tcBorders>
              <w:top w:val="single" w:sz="6" w:space="0" w:color="000000"/>
              <w:left w:val="single" w:sz="6" w:space="0" w:color="000000"/>
              <w:bottom w:val="single" w:sz="6" w:space="0" w:color="000000"/>
              <w:right w:val="single" w:sz="6" w:space="0" w:color="000000"/>
            </w:tcBorders>
            <w:vAlign w:val="center"/>
          </w:tcPr>
          <w:p w14:paraId="3934D0C7"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University</w:t>
            </w:r>
          </w:p>
        </w:tc>
        <w:tc>
          <w:tcPr>
            <w:tcW w:w="4865" w:type="dxa"/>
            <w:tcBorders>
              <w:top w:val="single" w:sz="6" w:space="0" w:color="000000"/>
              <w:left w:val="single" w:sz="6" w:space="0" w:color="000000"/>
              <w:bottom w:val="single" w:sz="6" w:space="0" w:color="000000"/>
              <w:right w:val="single" w:sz="6" w:space="0" w:color="000000"/>
            </w:tcBorders>
            <w:vAlign w:val="center"/>
          </w:tcPr>
          <w:p w14:paraId="3A3A41D4"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Involves broad governance and fiduciary risk.</w:t>
            </w:r>
          </w:p>
        </w:tc>
      </w:tr>
      <w:tr w:rsidR="00AD7A22" w14:paraId="08E67560" w14:textId="77777777">
        <w:tc>
          <w:tcPr>
            <w:tcW w:w="3101" w:type="dxa"/>
            <w:tcBorders>
              <w:top w:val="single" w:sz="6" w:space="0" w:color="000000"/>
              <w:left w:val="single" w:sz="6" w:space="0" w:color="000000"/>
              <w:bottom w:val="single" w:sz="6" w:space="0" w:color="000000"/>
              <w:right w:val="single" w:sz="6" w:space="0" w:color="000000"/>
            </w:tcBorders>
            <w:vAlign w:val="center"/>
          </w:tcPr>
          <w:p w14:paraId="50384D42"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t>Title IX</w:t>
            </w:r>
            <w:r>
              <w:rPr>
                <w:rFonts w:ascii="Times New Roman" w:eastAsia="Times New Roman" w:hAnsi="Times New Roman" w:cs="Times New Roman"/>
              </w:rPr>
              <w:t xml:space="preserve"> (University Civil Rights Policy)</w:t>
            </w:r>
          </w:p>
        </w:tc>
        <w:tc>
          <w:tcPr>
            <w:tcW w:w="1378" w:type="dxa"/>
            <w:tcBorders>
              <w:top w:val="single" w:sz="6" w:space="0" w:color="000000"/>
              <w:left w:val="single" w:sz="6" w:space="0" w:color="000000"/>
              <w:bottom w:val="single" w:sz="6" w:space="0" w:color="000000"/>
              <w:right w:val="single" w:sz="6" w:space="0" w:color="000000"/>
            </w:tcBorders>
            <w:vAlign w:val="center"/>
          </w:tcPr>
          <w:p w14:paraId="1AF8C7AD"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University</w:t>
            </w:r>
          </w:p>
        </w:tc>
        <w:tc>
          <w:tcPr>
            <w:tcW w:w="4865" w:type="dxa"/>
            <w:tcBorders>
              <w:top w:val="single" w:sz="6" w:space="0" w:color="000000"/>
              <w:left w:val="single" w:sz="6" w:space="0" w:color="000000"/>
              <w:bottom w:val="single" w:sz="6" w:space="0" w:color="000000"/>
              <w:right w:val="single" w:sz="6" w:space="0" w:color="000000"/>
            </w:tcBorders>
            <w:vAlign w:val="center"/>
          </w:tcPr>
          <w:p w14:paraId="55110480"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Ensures institution-wide civil rights compliance and addresses legal obligations.</w:t>
            </w:r>
          </w:p>
        </w:tc>
      </w:tr>
      <w:tr w:rsidR="00AD7A22" w14:paraId="16789569" w14:textId="77777777">
        <w:tc>
          <w:tcPr>
            <w:tcW w:w="3101" w:type="dxa"/>
            <w:tcBorders>
              <w:top w:val="single" w:sz="6" w:space="0" w:color="000000"/>
              <w:left w:val="single" w:sz="6" w:space="0" w:color="000000"/>
              <w:bottom w:val="single" w:sz="6" w:space="0" w:color="000000"/>
              <w:right w:val="single" w:sz="6" w:space="0" w:color="000000"/>
            </w:tcBorders>
            <w:vAlign w:val="center"/>
          </w:tcPr>
          <w:p w14:paraId="0C31934F"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lastRenderedPageBreak/>
              <w:t>Records Retention</w:t>
            </w:r>
            <w:r>
              <w:rPr>
                <w:rFonts w:ascii="Times New Roman" w:eastAsia="Times New Roman" w:hAnsi="Times New Roman" w:cs="Times New Roman"/>
              </w:rPr>
              <w:t xml:space="preserve"> (Governance Policies)</w:t>
            </w:r>
          </w:p>
        </w:tc>
        <w:tc>
          <w:tcPr>
            <w:tcW w:w="1378" w:type="dxa"/>
            <w:tcBorders>
              <w:top w:val="single" w:sz="6" w:space="0" w:color="000000"/>
              <w:left w:val="single" w:sz="6" w:space="0" w:color="000000"/>
              <w:bottom w:val="single" w:sz="6" w:space="0" w:color="000000"/>
              <w:right w:val="single" w:sz="6" w:space="0" w:color="000000"/>
            </w:tcBorders>
            <w:vAlign w:val="center"/>
          </w:tcPr>
          <w:p w14:paraId="64ECF059"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University</w:t>
            </w:r>
          </w:p>
        </w:tc>
        <w:tc>
          <w:tcPr>
            <w:tcW w:w="4865" w:type="dxa"/>
            <w:tcBorders>
              <w:top w:val="single" w:sz="6" w:space="0" w:color="000000"/>
              <w:left w:val="single" w:sz="6" w:space="0" w:color="000000"/>
              <w:bottom w:val="single" w:sz="6" w:space="0" w:color="000000"/>
              <w:right w:val="single" w:sz="6" w:space="0" w:color="000000"/>
            </w:tcBorders>
            <w:vAlign w:val="center"/>
          </w:tcPr>
          <w:p w14:paraId="70CD7E70"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Addresses enterprise legal and regulatory requirements.</w:t>
            </w:r>
          </w:p>
        </w:tc>
      </w:tr>
      <w:tr w:rsidR="00AD7A22" w14:paraId="70008458" w14:textId="77777777">
        <w:tc>
          <w:tcPr>
            <w:tcW w:w="3101" w:type="dxa"/>
            <w:tcBorders>
              <w:top w:val="single" w:sz="6" w:space="0" w:color="000000"/>
              <w:left w:val="single" w:sz="6" w:space="0" w:color="000000"/>
              <w:bottom w:val="single" w:sz="6" w:space="0" w:color="000000"/>
              <w:right w:val="single" w:sz="6" w:space="0" w:color="000000"/>
            </w:tcBorders>
            <w:vAlign w:val="center"/>
          </w:tcPr>
          <w:p w14:paraId="2B08A766"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t>Data Privacy / Security</w:t>
            </w:r>
            <w:r>
              <w:rPr>
                <w:rFonts w:ascii="Times New Roman" w:eastAsia="Times New Roman" w:hAnsi="Times New Roman" w:cs="Times New Roman"/>
              </w:rPr>
              <w:t xml:space="preserve"> (Governance Policies)</w:t>
            </w:r>
          </w:p>
        </w:tc>
        <w:tc>
          <w:tcPr>
            <w:tcW w:w="1378" w:type="dxa"/>
            <w:tcBorders>
              <w:top w:val="single" w:sz="6" w:space="0" w:color="000000"/>
              <w:left w:val="single" w:sz="6" w:space="0" w:color="000000"/>
              <w:bottom w:val="single" w:sz="6" w:space="0" w:color="000000"/>
              <w:right w:val="single" w:sz="6" w:space="0" w:color="000000"/>
            </w:tcBorders>
            <w:vAlign w:val="center"/>
          </w:tcPr>
          <w:p w14:paraId="060ACE1F"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University</w:t>
            </w:r>
          </w:p>
        </w:tc>
        <w:tc>
          <w:tcPr>
            <w:tcW w:w="4865" w:type="dxa"/>
            <w:tcBorders>
              <w:top w:val="single" w:sz="6" w:space="0" w:color="000000"/>
              <w:left w:val="single" w:sz="6" w:space="0" w:color="000000"/>
              <w:bottom w:val="single" w:sz="6" w:space="0" w:color="000000"/>
              <w:right w:val="single" w:sz="6" w:space="0" w:color="000000"/>
            </w:tcBorders>
            <w:vAlign w:val="center"/>
          </w:tcPr>
          <w:p w14:paraId="67923B79"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Protects shared systems and mitigates significant institutional risk.</w:t>
            </w:r>
          </w:p>
        </w:tc>
      </w:tr>
      <w:tr w:rsidR="00AD7A22" w14:paraId="5DA8DDF6" w14:textId="77777777">
        <w:tc>
          <w:tcPr>
            <w:tcW w:w="3101" w:type="dxa"/>
            <w:tcBorders>
              <w:top w:val="single" w:sz="6" w:space="0" w:color="000000"/>
              <w:left w:val="single" w:sz="6" w:space="0" w:color="000000"/>
              <w:bottom w:val="single" w:sz="6" w:space="0" w:color="000000"/>
              <w:right w:val="single" w:sz="6" w:space="0" w:color="000000"/>
            </w:tcBorders>
            <w:vAlign w:val="center"/>
          </w:tcPr>
          <w:p w14:paraId="5EE219AE"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t>Signature Authority</w:t>
            </w:r>
            <w:r>
              <w:rPr>
                <w:rFonts w:ascii="Times New Roman" w:eastAsia="Times New Roman" w:hAnsi="Times New Roman" w:cs="Times New Roman"/>
              </w:rPr>
              <w:t xml:space="preserve"> (Governance Policies)</w:t>
            </w:r>
          </w:p>
        </w:tc>
        <w:tc>
          <w:tcPr>
            <w:tcW w:w="1378" w:type="dxa"/>
            <w:tcBorders>
              <w:top w:val="single" w:sz="6" w:space="0" w:color="000000"/>
              <w:left w:val="single" w:sz="6" w:space="0" w:color="000000"/>
              <w:bottom w:val="single" w:sz="6" w:space="0" w:color="000000"/>
              <w:right w:val="single" w:sz="6" w:space="0" w:color="000000"/>
            </w:tcBorders>
            <w:vAlign w:val="center"/>
          </w:tcPr>
          <w:p w14:paraId="23000FD7"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University</w:t>
            </w:r>
          </w:p>
        </w:tc>
        <w:tc>
          <w:tcPr>
            <w:tcW w:w="4865" w:type="dxa"/>
            <w:tcBorders>
              <w:top w:val="single" w:sz="6" w:space="0" w:color="000000"/>
              <w:left w:val="single" w:sz="6" w:space="0" w:color="000000"/>
              <w:bottom w:val="single" w:sz="6" w:space="0" w:color="000000"/>
              <w:right w:val="single" w:sz="6" w:space="0" w:color="000000"/>
            </w:tcBorders>
            <w:vAlign w:val="center"/>
          </w:tcPr>
          <w:p w14:paraId="546C6699"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Controls overarching contracts and financial commitments.</w:t>
            </w:r>
          </w:p>
        </w:tc>
      </w:tr>
      <w:tr w:rsidR="00AD7A22" w14:paraId="7C28E815" w14:textId="77777777">
        <w:tc>
          <w:tcPr>
            <w:tcW w:w="3101" w:type="dxa"/>
            <w:tcBorders>
              <w:top w:val="single" w:sz="6" w:space="0" w:color="000000"/>
              <w:left w:val="single" w:sz="6" w:space="0" w:color="000000"/>
              <w:bottom w:val="single" w:sz="6" w:space="0" w:color="000000"/>
              <w:right w:val="single" w:sz="6" w:space="0" w:color="000000"/>
            </w:tcBorders>
            <w:vAlign w:val="center"/>
          </w:tcPr>
          <w:p w14:paraId="3258132A"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t>Student Code of Conduct</w:t>
            </w:r>
            <w:r>
              <w:rPr>
                <w:rFonts w:ascii="Times New Roman" w:eastAsia="Times New Roman" w:hAnsi="Times New Roman" w:cs="Times New Roman"/>
              </w:rPr>
              <w:t xml:space="preserve"> (Student Affairs / Standards)</w:t>
            </w:r>
          </w:p>
        </w:tc>
        <w:tc>
          <w:tcPr>
            <w:tcW w:w="1378" w:type="dxa"/>
            <w:tcBorders>
              <w:top w:val="single" w:sz="6" w:space="0" w:color="000000"/>
              <w:left w:val="single" w:sz="6" w:space="0" w:color="000000"/>
              <w:bottom w:val="single" w:sz="6" w:space="0" w:color="000000"/>
              <w:right w:val="single" w:sz="6" w:space="0" w:color="000000"/>
            </w:tcBorders>
            <w:vAlign w:val="center"/>
          </w:tcPr>
          <w:p w14:paraId="77E40234"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Divisional</w:t>
            </w:r>
          </w:p>
        </w:tc>
        <w:tc>
          <w:tcPr>
            <w:tcW w:w="4865" w:type="dxa"/>
            <w:tcBorders>
              <w:top w:val="single" w:sz="6" w:space="0" w:color="000000"/>
              <w:left w:val="single" w:sz="6" w:space="0" w:color="000000"/>
              <w:bottom w:val="single" w:sz="6" w:space="0" w:color="000000"/>
              <w:right w:val="single" w:sz="6" w:space="0" w:color="000000"/>
            </w:tcBorders>
            <w:vAlign w:val="center"/>
          </w:tcPr>
          <w:p w14:paraId="01357DD4" w14:textId="77777777" w:rsidR="00AD7A22" w:rsidRDefault="00000000">
            <w:pPr>
              <w:spacing w:after="0" w:line="240" w:lineRule="auto"/>
              <w:rPr>
                <w:rFonts w:ascii="Times New Roman" w:eastAsia="Times New Roman" w:hAnsi="Times New Roman" w:cs="Times New Roman"/>
              </w:rPr>
            </w:pPr>
            <w:proofErr w:type="gramStart"/>
            <w:r>
              <w:rPr>
                <w:rFonts w:ascii="Times New Roman" w:eastAsia="Times New Roman" w:hAnsi="Times New Roman" w:cs="Times New Roman"/>
              </w:rPr>
              <w:t>Governs</w:t>
            </w:r>
            <w:proofErr w:type="gramEnd"/>
            <w:r>
              <w:rPr>
                <w:rFonts w:ascii="Times New Roman" w:eastAsia="Times New Roman" w:hAnsi="Times New Roman" w:cs="Times New Roman"/>
              </w:rPr>
              <w:t xml:space="preserve"> fundamental student rights and responsibilities.</w:t>
            </w:r>
          </w:p>
        </w:tc>
      </w:tr>
      <w:tr w:rsidR="00AD7A22" w14:paraId="4CD3D433" w14:textId="77777777">
        <w:tc>
          <w:tcPr>
            <w:tcW w:w="3101" w:type="dxa"/>
            <w:tcBorders>
              <w:top w:val="single" w:sz="6" w:space="0" w:color="000000"/>
              <w:left w:val="single" w:sz="6" w:space="0" w:color="000000"/>
              <w:bottom w:val="single" w:sz="6" w:space="0" w:color="000000"/>
              <w:right w:val="single" w:sz="6" w:space="0" w:color="000000"/>
            </w:tcBorders>
            <w:vAlign w:val="center"/>
          </w:tcPr>
          <w:p w14:paraId="485C6511"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t>Department Chair Procedures</w:t>
            </w:r>
            <w:r>
              <w:rPr>
                <w:rFonts w:ascii="Times New Roman" w:eastAsia="Times New Roman" w:hAnsi="Times New Roman" w:cs="Times New Roman"/>
              </w:rPr>
              <w:t xml:space="preserve"> (Academic Affairs)</w:t>
            </w:r>
          </w:p>
        </w:tc>
        <w:tc>
          <w:tcPr>
            <w:tcW w:w="1378" w:type="dxa"/>
            <w:tcBorders>
              <w:top w:val="single" w:sz="6" w:space="0" w:color="000000"/>
              <w:left w:val="single" w:sz="6" w:space="0" w:color="000000"/>
              <w:bottom w:val="single" w:sz="6" w:space="0" w:color="000000"/>
              <w:right w:val="single" w:sz="6" w:space="0" w:color="000000"/>
            </w:tcBorders>
            <w:vAlign w:val="center"/>
          </w:tcPr>
          <w:p w14:paraId="1B9E10B9"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Divisional</w:t>
            </w:r>
          </w:p>
        </w:tc>
        <w:tc>
          <w:tcPr>
            <w:tcW w:w="4865" w:type="dxa"/>
            <w:tcBorders>
              <w:top w:val="single" w:sz="6" w:space="0" w:color="000000"/>
              <w:left w:val="single" w:sz="6" w:space="0" w:color="000000"/>
              <w:bottom w:val="single" w:sz="6" w:space="0" w:color="000000"/>
              <w:right w:val="single" w:sz="6" w:space="0" w:color="000000"/>
            </w:tcBorders>
            <w:vAlign w:val="center"/>
          </w:tcPr>
          <w:p w14:paraId="19F450FE"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Guides internal academic operations and expectations.</w:t>
            </w:r>
          </w:p>
        </w:tc>
      </w:tr>
      <w:tr w:rsidR="00AD7A22" w14:paraId="133E5A89" w14:textId="77777777">
        <w:tc>
          <w:tcPr>
            <w:tcW w:w="3101" w:type="dxa"/>
            <w:tcBorders>
              <w:top w:val="single" w:sz="6" w:space="0" w:color="000000"/>
              <w:left w:val="single" w:sz="6" w:space="0" w:color="000000"/>
              <w:bottom w:val="single" w:sz="6" w:space="0" w:color="000000"/>
              <w:right w:val="single" w:sz="6" w:space="0" w:color="000000"/>
            </w:tcBorders>
            <w:vAlign w:val="center"/>
          </w:tcPr>
          <w:p w14:paraId="75807DA5"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t>Residence Hall Guest Rules</w:t>
            </w:r>
            <w:r>
              <w:rPr>
                <w:rFonts w:ascii="Times New Roman" w:eastAsia="Times New Roman" w:hAnsi="Times New Roman" w:cs="Times New Roman"/>
              </w:rPr>
              <w:t xml:space="preserve"> (Student Affairs)</w:t>
            </w:r>
          </w:p>
        </w:tc>
        <w:tc>
          <w:tcPr>
            <w:tcW w:w="1378" w:type="dxa"/>
            <w:tcBorders>
              <w:top w:val="single" w:sz="6" w:space="0" w:color="000000"/>
              <w:left w:val="single" w:sz="6" w:space="0" w:color="000000"/>
              <w:bottom w:val="single" w:sz="6" w:space="0" w:color="000000"/>
              <w:right w:val="single" w:sz="6" w:space="0" w:color="000000"/>
            </w:tcBorders>
            <w:vAlign w:val="center"/>
          </w:tcPr>
          <w:p w14:paraId="5D6109F7"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Divisional</w:t>
            </w:r>
          </w:p>
        </w:tc>
        <w:tc>
          <w:tcPr>
            <w:tcW w:w="4865" w:type="dxa"/>
            <w:tcBorders>
              <w:top w:val="single" w:sz="6" w:space="0" w:color="000000"/>
              <w:left w:val="single" w:sz="6" w:space="0" w:color="000000"/>
              <w:bottom w:val="single" w:sz="6" w:space="0" w:color="000000"/>
              <w:right w:val="single" w:sz="6" w:space="0" w:color="000000"/>
            </w:tcBorders>
            <w:vAlign w:val="center"/>
          </w:tcPr>
          <w:p w14:paraId="6EC83FA4"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Manages specific Housing / Student Affairs operations.</w:t>
            </w:r>
          </w:p>
        </w:tc>
      </w:tr>
      <w:tr w:rsidR="00AD7A22" w14:paraId="38D93646" w14:textId="77777777">
        <w:tc>
          <w:tcPr>
            <w:tcW w:w="3101" w:type="dxa"/>
            <w:tcBorders>
              <w:top w:val="single" w:sz="6" w:space="0" w:color="000000"/>
              <w:left w:val="single" w:sz="6" w:space="0" w:color="000000"/>
              <w:bottom w:val="single" w:sz="6" w:space="0" w:color="000000"/>
              <w:right w:val="single" w:sz="6" w:space="0" w:color="000000"/>
            </w:tcBorders>
            <w:vAlign w:val="center"/>
          </w:tcPr>
          <w:p w14:paraId="5A23F93C"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t>Purchasing Card Procedures</w:t>
            </w:r>
            <w:r>
              <w:rPr>
                <w:rFonts w:ascii="Times New Roman" w:eastAsia="Times New Roman" w:hAnsi="Times New Roman" w:cs="Times New Roman"/>
              </w:rPr>
              <w:t xml:space="preserve"> (Finance &amp; Administration)</w:t>
            </w:r>
          </w:p>
        </w:tc>
        <w:tc>
          <w:tcPr>
            <w:tcW w:w="1378" w:type="dxa"/>
            <w:tcBorders>
              <w:top w:val="single" w:sz="6" w:space="0" w:color="000000"/>
              <w:left w:val="single" w:sz="6" w:space="0" w:color="000000"/>
              <w:bottom w:val="single" w:sz="6" w:space="0" w:color="000000"/>
              <w:right w:val="single" w:sz="6" w:space="0" w:color="000000"/>
            </w:tcBorders>
            <w:vAlign w:val="center"/>
          </w:tcPr>
          <w:p w14:paraId="311D46DE"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Divisional</w:t>
            </w:r>
          </w:p>
        </w:tc>
        <w:tc>
          <w:tcPr>
            <w:tcW w:w="4865" w:type="dxa"/>
            <w:tcBorders>
              <w:top w:val="single" w:sz="6" w:space="0" w:color="000000"/>
              <w:left w:val="single" w:sz="6" w:space="0" w:color="000000"/>
              <w:bottom w:val="single" w:sz="6" w:space="0" w:color="000000"/>
              <w:right w:val="single" w:sz="6" w:space="0" w:color="000000"/>
            </w:tcBorders>
            <w:vAlign w:val="center"/>
          </w:tcPr>
          <w:p w14:paraId="4B3484D8"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Provides operational control limited to finance procedures.</w:t>
            </w:r>
          </w:p>
        </w:tc>
      </w:tr>
      <w:tr w:rsidR="00AD7A22" w14:paraId="75653617" w14:textId="77777777">
        <w:tc>
          <w:tcPr>
            <w:tcW w:w="3101" w:type="dxa"/>
            <w:tcBorders>
              <w:top w:val="single" w:sz="6" w:space="0" w:color="000000"/>
              <w:left w:val="single" w:sz="6" w:space="0" w:color="000000"/>
              <w:bottom w:val="single" w:sz="6" w:space="0" w:color="000000"/>
              <w:right w:val="single" w:sz="6" w:space="0" w:color="000000"/>
            </w:tcBorders>
            <w:vAlign w:val="center"/>
          </w:tcPr>
          <w:p w14:paraId="0003F32D"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t>Team Travel Rules</w:t>
            </w:r>
            <w:r>
              <w:rPr>
                <w:rFonts w:ascii="Times New Roman" w:eastAsia="Times New Roman" w:hAnsi="Times New Roman" w:cs="Times New Roman"/>
              </w:rPr>
              <w:t xml:space="preserve"> (Athletics)</w:t>
            </w:r>
          </w:p>
        </w:tc>
        <w:tc>
          <w:tcPr>
            <w:tcW w:w="1378" w:type="dxa"/>
            <w:tcBorders>
              <w:top w:val="single" w:sz="6" w:space="0" w:color="000000"/>
              <w:left w:val="single" w:sz="6" w:space="0" w:color="000000"/>
              <w:bottom w:val="single" w:sz="6" w:space="0" w:color="000000"/>
              <w:right w:val="single" w:sz="6" w:space="0" w:color="000000"/>
            </w:tcBorders>
            <w:vAlign w:val="center"/>
          </w:tcPr>
          <w:p w14:paraId="3294AD5C"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Divisional</w:t>
            </w:r>
          </w:p>
        </w:tc>
        <w:tc>
          <w:tcPr>
            <w:tcW w:w="4865" w:type="dxa"/>
            <w:tcBorders>
              <w:top w:val="single" w:sz="6" w:space="0" w:color="000000"/>
              <w:left w:val="single" w:sz="6" w:space="0" w:color="000000"/>
              <w:bottom w:val="single" w:sz="6" w:space="0" w:color="000000"/>
              <w:right w:val="single" w:sz="6" w:space="0" w:color="000000"/>
            </w:tcBorders>
            <w:vAlign w:val="center"/>
          </w:tcPr>
          <w:p w14:paraId="0CCB7C1E"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Sets specific Athletics operational standards.</w:t>
            </w:r>
          </w:p>
        </w:tc>
      </w:tr>
      <w:tr w:rsidR="00AD7A22" w14:paraId="0ACB19BF" w14:textId="77777777">
        <w:tc>
          <w:tcPr>
            <w:tcW w:w="3101" w:type="dxa"/>
            <w:tcBorders>
              <w:top w:val="single" w:sz="6" w:space="0" w:color="000000"/>
              <w:left w:val="single" w:sz="6" w:space="0" w:color="000000"/>
              <w:bottom w:val="single" w:sz="6" w:space="0" w:color="000000"/>
              <w:right w:val="single" w:sz="6" w:space="0" w:color="000000"/>
            </w:tcBorders>
            <w:vAlign w:val="center"/>
          </w:tcPr>
          <w:p w14:paraId="46D918D6"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t xml:space="preserve">Guideline to the Use of AI Tools </w:t>
            </w:r>
            <w:r>
              <w:rPr>
                <w:rFonts w:ascii="Times New Roman" w:eastAsia="Times New Roman" w:hAnsi="Times New Roman" w:cs="Times New Roman"/>
              </w:rPr>
              <w:t>(Emerging Governance Area)</w:t>
            </w:r>
          </w:p>
        </w:tc>
        <w:tc>
          <w:tcPr>
            <w:tcW w:w="1378" w:type="dxa"/>
            <w:tcBorders>
              <w:top w:val="single" w:sz="6" w:space="0" w:color="000000"/>
              <w:left w:val="single" w:sz="6" w:space="0" w:color="000000"/>
              <w:bottom w:val="single" w:sz="6" w:space="0" w:color="000000"/>
              <w:right w:val="single" w:sz="6" w:space="0" w:color="000000"/>
            </w:tcBorders>
            <w:vAlign w:val="center"/>
          </w:tcPr>
          <w:p w14:paraId="119AB15F"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Either (Mixed)</w:t>
            </w:r>
          </w:p>
        </w:tc>
        <w:tc>
          <w:tcPr>
            <w:tcW w:w="4865" w:type="dxa"/>
            <w:tcBorders>
              <w:top w:val="single" w:sz="6" w:space="0" w:color="000000"/>
              <w:left w:val="single" w:sz="6" w:space="0" w:color="000000"/>
              <w:bottom w:val="single" w:sz="6" w:space="0" w:color="000000"/>
              <w:right w:val="single" w:sz="6" w:space="0" w:color="000000"/>
            </w:tcBorders>
            <w:vAlign w:val="center"/>
          </w:tcPr>
          <w:p w14:paraId="76934500"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Could start as a divisional pilot but may </w:t>
            </w:r>
            <w:proofErr w:type="gramStart"/>
            <w:r>
              <w:rPr>
                <w:rFonts w:ascii="Times New Roman" w:eastAsia="Times New Roman" w:hAnsi="Times New Roman" w:cs="Times New Roman"/>
              </w:rPr>
              <w:t>implicate</w:t>
            </w:r>
            <w:proofErr w:type="gramEnd"/>
            <w:r>
              <w:rPr>
                <w:rFonts w:ascii="Times New Roman" w:eastAsia="Times New Roman" w:hAnsi="Times New Roman" w:cs="Times New Roman"/>
              </w:rPr>
              <w:t xml:space="preserve"> campus-wide governance issues requiring elevation.</w:t>
            </w:r>
          </w:p>
        </w:tc>
      </w:tr>
      <w:tr w:rsidR="00AD7A22" w14:paraId="3B757E6B" w14:textId="77777777">
        <w:tc>
          <w:tcPr>
            <w:tcW w:w="3101" w:type="dxa"/>
            <w:tcBorders>
              <w:top w:val="single" w:sz="6" w:space="0" w:color="000000"/>
              <w:left w:val="single" w:sz="6" w:space="0" w:color="000000"/>
              <w:bottom w:val="single" w:sz="6" w:space="0" w:color="000000"/>
              <w:right w:val="single" w:sz="6" w:space="0" w:color="000000"/>
            </w:tcBorders>
            <w:vAlign w:val="center"/>
          </w:tcPr>
          <w:p w14:paraId="2CA77AE5"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t>Social Media Policy</w:t>
            </w:r>
            <w:r>
              <w:rPr>
                <w:rFonts w:ascii="Times New Roman" w:eastAsia="Times New Roman" w:hAnsi="Times New Roman" w:cs="Times New Roman"/>
              </w:rPr>
              <w:t xml:space="preserve"> (Marketing / Brand Governance)</w:t>
            </w:r>
          </w:p>
        </w:tc>
        <w:tc>
          <w:tcPr>
            <w:tcW w:w="1378" w:type="dxa"/>
            <w:tcBorders>
              <w:top w:val="single" w:sz="6" w:space="0" w:color="000000"/>
              <w:left w:val="single" w:sz="6" w:space="0" w:color="000000"/>
              <w:bottom w:val="single" w:sz="6" w:space="0" w:color="000000"/>
              <w:right w:val="single" w:sz="6" w:space="0" w:color="000000"/>
            </w:tcBorders>
            <w:vAlign w:val="center"/>
          </w:tcPr>
          <w:p w14:paraId="30227A1C"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Either (Mixed)</w:t>
            </w:r>
          </w:p>
        </w:tc>
        <w:tc>
          <w:tcPr>
            <w:tcW w:w="4865" w:type="dxa"/>
            <w:tcBorders>
              <w:top w:val="single" w:sz="6" w:space="0" w:color="000000"/>
              <w:left w:val="single" w:sz="6" w:space="0" w:color="000000"/>
              <w:bottom w:val="single" w:sz="6" w:space="0" w:color="000000"/>
              <w:right w:val="single" w:sz="6" w:space="0" w:color="000000"/>
            </w:tcBorders>
            <w:vAlign w:val="center"/>
          </w:tcPr>
          <w:p w14:paraId="35B3529F"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May serve as a local rule for one unit or require elevation to a university brand standard to avoid confusion.</w:t>
            </w:r>
          </w:p>
        </w:tc>
      </w:tr>
      <w:tr w:rsidR="00AD7A22" w14:paraId="79C67800" w14:textId="77777777">
        <w:tc>
          <w:tcPr>
            <w:tcW w:w="3101" w:type="dxa"/>
            <w:tcBorders>
              <w:top w:val="single" w:sz="6" w:space="0" w:color="000000"/>
              <w:left w:val="single" w:sz="6" w:space="0" w:color="000000"/>
              <w:bottom w:val="single" w:sz="6" w:space="0" w:color="000000"/>
              <w:right w:val="single" w:sz="6" w:space="0" w:color="000000"/>
            </w:tcBorders>
            <w:vAlign w:val="center"/>
          </w:tcPr>
          <w:p w14:paraId="257FB4DA"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t>Travel Policy</w:t>
            </w:r>
            <w:r>
              <w:rPr>
                <w:rFonts w:ascii="Times New Roman" w:eastAsia="Times New Roman" w:hAnsi="Times New Roman" w:cs="Times New Roman"/>
              </w:rPr>
              <w:t xml:space="preserve"> (Finance / HR / Operations)</w:t>
            </w:r>
          </w:p>
        </w:tc>
        <w:tc>
          <w:tcPr>
            <w:tcW w:w="1378" w:type="dxa"/>
            <w:tcBorders>
              <w:top w:val="single" w:sz="6" w:space="0" w:color="000000"/>
              <w:left w:val="single" w:sz="6" w:space="0" w:color="000000"/>
              <w:bottom w:val="single" w:sz="6" w:space="0" w:color="000000"/>
              <w:right w:val="single" w:sz="6" w:space="0" w:color="000000"/>
            </w:tcBorders>
            <w:vAlign w:val="center"/>
          </w:tcPr>
          <w:p w14:paraId="2F49CAD7"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Either (Mixed)</w:t>
            </w:r>
          </w:p>
        </w:tc>
        <w:tc>
          <w:tcPr>
            <w:tcW w:w="4865" w:type="dxa"/>
            <w:tcBorders>
              <w:top w:val="single" w:sz="6" w:space="0" w:color="000000"/>
              <w:left w:val="single" w:sz="6" w:space="0" w:color="000000"/>
              <w:bottom w:val="single" w:sz="6" w:space="0" w:color="000000"/>
              <w:right w:val="single" w:sz="6" w:space="0" w:color="000000"/>
            </w:tcBorders>
            <w:vAlign w:val="center"/>
          </w:tcPr>
          <w:p w14:paraId="3CF7640F" w14:textId="77777777" w:rsidR="00AD7A22"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Could be a unit-specific guideline or require elevation to one universal rule if inconsistent application creates inequity.</w:t>
            </w:r>
          </w:p>
        </w:tc>
      </w:tr>
    </w:tbl>
    <w:p w14:paraId="4DF68F0F" w14:textId="77777777" w:rsidR="00AD7A22" w:rsidRDefault="00AD7A22">
      <w:pPr>
        <w:spacing w:before="280" w:after="280" w:line="240" w:lineRule="auto"/>
        <w:jc w:val="both"/>
        <w:rPr>
          <w:rFonts w:ascii="Times New Roman" w:eastAsia="Times New Roman" w:hAnsi="Times New Roman" w:cs="Times New Roman"/>
          <w:sz w:val="24"/>
          <w:szCs w:val="24"/>
        </w:rPr>
      </w:pPr>
    </w:p>
    <w:p w14:paraId="06DB246B" w14:textId="77777777" w:rsidR="00AD7A22" w:rsidRDefault="00AD7A22">
      <w:pPr>
        <w:jc w:val="both"/>
      </w:pPr>
    </w:p>
    <w:sectPr w:rsidR="00AD7A2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A26E492-0CEB-4658-BB31-6AAA467109D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B7BE2C0D-8CDC-4DB8-909E-AD10EBB72960}"/>
    <w:embedItalic r:id="rId3" w:fontKey="{C8356FAB-CDF8-419B-AA51-45855CC6B030}"/>
  </w:font>
  <w:font w:name="Play">
    <w:charset w:val="00"/>
    <w:family w:val="auto"/>
    <w:pitch w:val="default"/>
    <w:embedRegular r:id="rId4" w:fontKey="{3258FE76-C931-478A-9F77-6661859E6BE7}"/>
  </w:font>
  <w:font w:name="Calibri">
    <w:panose1 w:val="020F0502020204030204"/>
    <w:charset w:val="00"/>
    <w:family w:val="swiss"/>
    <w:pitch w:val="variable"/>
    <w:sig w:usb0="E4002EFF" w:usb1="C200247B" w:usb2="00000009" w:usb3="00000000" w:csb0="000001FF" w:csb1="00000000"/>
    <w:embedRegular r:id="rId5" w:fontKey="{D142173B-0BD4-4D72-9BED-3587594B6C90}"/>
  </w:font>
  <w:font w:name="Cambria">
    <w:panose1 w:val="02040503050406030204"/>
    <w:charset w:val="00"/>
    <w:family w:val="roman"/>
    <w:pitch w:val="variable"/>
    <w:sig w:usb0="E00006FF" w:usb1="420024FF" w:usb2="02000000" w:usb3="00000000" w:csb0="0000019F" w:csb1="00000000"/>
    <w:embedRegular r:id="rId6" w:fontKey="{F2A846E2-84A2-4A7A-9D80-33662C89FF8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C0869"/>
    <w:multiLevelType w:val="multilevel"/>
    <w:tmpl w:val="98CAFB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D6636FD"/>
    <w:multiLevelType w:val="multilevel"/>
    <w:tmpl w:val="9238E3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DA25122"/>
    <w:multiLevelType w:val="multilevel"/>
    <w:tmpl w:val="BA167D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F9948FB"/>
    <w:multiLevelType w:val="multilevel"/>
    <w:tmpl w:val="1EECB5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0421BA0"/>
    <w:multiLevelType w:val="multilevel"/>
    <w:tmpl w:val="E76464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B8E593F"/>
    <w:multiLevelType w:val="multilevel"/>
    <w:tmpl w:val="FF3E86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9592321">
    <w:abstractNumId w:val="5"/>
  </w:num>
  <w:num w:numId="2" w16cid:durableId="852768615">
    <w:abstractNumId w:val="4"/>
  </w:num>
  <w:num w:numId="3" w16cid:durableId="1587304141">
    <w:abstractNumId w:val="1"/>
  </w:num>
  <w:num w:numId="4" w16cid:durableId="1265380958">
    <w:abstractNumId w:val="0"/>
  </w:num>
  <w:num w:numId="5" w16cid:durableId="1956865743">
    <w:abstractNumId w:val="2"/>
  </w:num>
  <w:num w:numId="6" w16cid:durableId="9371818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A22"/>
    <w:rsid w:val="00535E94"/>
    <w:rsid w:val="00AD7A22"/>
    <w:rsid w:val="00D13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F0D34"/>
  <w15:docId w15:val="{423DDBD7-142B-4DC3-B8CB-7D8BA6446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15" w:type="dxa"/>
        <w:left w:w="15" w:type="dxa"/>
        <w:bottom w:w="15" w:type="dxa"/>
        <w:right w:w="15" w:type="dxa"/>
      </w:tblCellMar>
    </w:tblPr>
  </w:style>
  <w:style w:type="paragraph" w:styleId="Subtitle">
    <w:name w:val="Subtitle"/>
    <w:basedOn w:val="Normal"/>
    <w:next w:val="Normal"/>
    <w:uiPriority w:val="11"/>
    <w:qFormat/>
    <w:rPr>
      <w:color w:val="595959"/>
      <w:sz w:val="28"/>
      <w:szCs w:val="28"/>
    </w:rPr>
  </w:style>
  <w:style w:type="table" w:customStyle="1" w:styleId="a0">
    <w:basedOn w:val="TableNormal1"/>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ZcJAnlsoc6lxN+B4mHBJnJyAlw==">CgMxLjA4AHIhMXBmLXFqTDlVakQxd3pYT1NDbFFuM2wxV3dqVW91d2Fm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1383</Words>
  <Characters>7887</Characters>
  <Application>Microsoft Office Word</Application>
  <DocSecurity>0</DocSecurity>
  <Lines>65</Lines>
  <Paragraphs>18</Paragraphs>
  <ScaleCrop>false</ScaleCrop>
  <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Joyce Thompson-Mills</cp:lastModifiedBy>
  <cp:revision>2</cp:revision>
  <dcterms:created xsi:type="dcterms:W3CDTF">2026-09-22T17:37:00Z</dcterms:created>
  <dcterms:modified xsi:type="dcterms:W3CDTF">2026-09-22T17:37:00Z</dcterms:modified>
</cp:coreProperties>
</file>