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C6" w:rsidRDefault="00D74986" w:rsidP="00D042C6">
      <w:r>
        <w:t>Just showed episode assignment in the grades Excel fi</w:t>
      </w:r>
      <w:r w:rsidR="00D042C6">
        <w:t xml:space="preserve">le for the Monday presentations on </w:t>
      </w:r>
      <w:r w:rsidR="00D042C6">
        <w:t>ISLMADAS Policy</w:t>
      </w:r>
      <w:r w:rsidR="00D042C6">
        <w:t>.</w:t>
      </w:r>
    </w:p>
    <w:p w:rsidR="00D042C6" w:rsidRDefault="00D042C6" w:rsidP="00D042C6"/>
    <w:p w:rsidR="00D042C6" w:rsidRDefault="00D042C6" w:rsidP="00D042C6">
      <w:r>
        <w:t>Here are the instructions for the presentations:</w:t>
      </w:r>
    </w:p>
    <w:p w:rsidR="00D042C6" w:rsidRDefault="00D042C6" w:rsidP="00D042C6"/>
    <w:p w:rsidR="00D042C6" w:rsidRDefault="00D042C6" w:rsidP="00D042C6"/>
    <w:tbl>
      <w:tblPr>
        <w:tblW w:w="12724" w:type="dxa"/>
        <w:tblLook w:val="04A0" w:firstRow="1" w:lastRow="0" w:firstColumn="1" w:lastColumn="0" w:noHBand="0" w:noVBand="1"/>
      </w:tblPr>
      <w:tblGrid>
        <w:gridCol w:w="2336"/>
        <w:gridCol w:w="1176"/>
        <w:gridCol w:w="976"/>
        <w:gridCol w:w="2216"/>
        <w:gridCol w:w="2316"/>
        <w:gridCol w:w="976"/>
        <w:gridCol w:w="976"/>
        <w:gridCol w:w="976"/>
        <w:gridCol w:w="976"/>
      </w:tblGrid>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Panic of 1907</w:t>
            </w:r>
          </w:p>
        </w:tc>
        <w:tc>
          <w:tcPr>
            <w:tcW w:w="976" w:type="dxa"/>
            <w:tcBorders>
              <w:top w:val="nil"/>
              <w:left w:val="nil"/>
              <w:bottom w:val="nil"/>
              <w:right w:val="nil"/>
            </w:tcBorders>
            <w:shd w:val="clear" w:color="auto" w:fill="auto"/>
            <w:noWrap/>
            <w:vAlign w:val="bottom"/>
            <w:hideMark/>
          </w:tcPr>
          <w:p w:rsidR="00D042C6" w:rsidRDefault="00D042C6">
            <w:pPr>
              <w:rPr>
                <w:rFonts w:ascii="Geneva" w:hAnsi="Geneva"/>
                <w:sz w:val="18"/>
                <w:szCs w:val="18"/>
              </w:rPr>
            </w:pPr>
            <w:r>
              <w:rPr>
                <w:rFonts w:ascii="Geneva" w:hAnsi="Geneva"/>
                <w:noProof/>
                <w:sz w:val="18"/>
                <w:szCs w:val="18"/>
              </w:rPr>
              <mc:AlternateContent>
                <mc:Choice Requires="wps">
                  <w:drawing>
                    <wp:anchor distT="0" distB="0" distL="114300" distR="114300" simplePos="0" relativeHeight="251659264" behindDoc="0" locked="0" layoutInCell="1" allowOverlap="1">
                      <wp:simplePos x="0" y="0"/>
                      <wp:positionH relativeFrom="column">
                        <wp:posOffset>95250</wp:posOffset>
                      </wp:positionH>
                      <wp:positionV relativeFrom="paragraph">
                        <wp:posOffset>76200</wp:posOffset>
                      </wp:positionV>
                      <wp:extent cx="5943600" cy="30289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5933084" cy="3026970"/>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D042C6" w:rsidRDefault="00D042C6" w:rsidP="00D042C6">
                                  <w:pPr>
                                    <w:pStyle w:val="NormalWeb"/>
                                    <w:spacing w:before="0" w:beforeAutospacing="0" w:after="0" w:afterAutospacing="0"/>
                                  </w:pPr>
                                  <w:r>
                                    <w:rPr>
                                      <w:rFonts w:asciiTheme="minorHAnsi" w:hAnsi="Calibri" w:cstheme="minorBidi"/>
                                      <w:color w:val="000000" w:themeColor="dark1"/>
                                      <w:sz w:val="22"/>
                                      <w:szCs w:val="22"/>
                                    </w:rPr>
                                    <w:t xml:space="preserve">Task: Briefly describe what happened to the economy along with any policies and movement in Y, U, P, and interest rates (if needed) during the episode. You should do some research to determine the main shocks and results of your epsiode. You need to intepret the events and explain how they  affected the economy using the ISLMADAS Model. You need graphs and explanation in a one page Word doc. Unfortunately, you will have a maximum time of </w:t>
                                  </w:r>
                                  <w:r>
                                    <w:rPr>
                                      <w:rFonts w:asciiTheme="minorHAnsi" w:hAnsi="Calibri" w:cstheme="minorBidi"/>
                                      <w:color w:val="FF0000"/>
                                      <w:sz w:val="22"/>
                                      <w:szCs w:val="22"/>
                                    </w:rPr>
                                    <w:t xml:space="preserve">3 minutes </w:t>
                                  </w:r>
                                  <w:r>
                                    <w:rPr>
                                      <w:rFonts w:asciiTheme="minorHAnsi" w:hAnsi="Calibri" w:cstheme="minorBidi"/>
                                      <w:color w:val="000000" w:themeColor="dark1"/>
                                      <w:sz w:val="22"/>
                                      <w:szCs w:val="22"/>
                                    </w:rPr>
                                    <w:t xml:space="preserve">for your presentation. Please be sure to stay within time.  Create tables of data to quickly provide information. </w:t>
                                  </w:r>
                                  <w:r>
                                    <w:rPr>
                                      <w:rFonts w:asciiTheme="minorHAnsi" w:hAnsi="Calibri" w:cstheme="minorBidi"/>
                                      <w:color w:val="FF0000"/>
                                      <w:sz w:val="22"/>
                                      <w:szCs w:val="22"/>
                                    </w:rPr>
                                    <w:t>Make a one page handout (with graphs) for the class (18 copies, with 1 for you) and save your one page Word doc in your class folder.</w:t>
                                  </w:r>
                                  <w:r>
                                    <w:rPr>
                                      <w:rFonts w:asciiTheme="minorHAnsi" w:hAnsi="Calibri" w:cstheme="minorBidi"/>
                                      <w:color w:val="000000" w:themeColor="dark1"/>
                                      <w:sz w:val="22"/>
                                      <w:szCs w:val="22"/>
                                    </w:rPr>
                                    <w:t xml:space="preserve"> You will stand in front of the class and explain your analysis, pointing specifically to your one page (printed) handout. I don't want "AD shifted left. Y fell. Thank you." I want an explanation of the way the ISLMADAS model can be used to understand the event. I want a description of the shock or shocks and how you shifted curves and how ISLM "matches up with" ADAS. I want you to spend time researching the event so you know a little about it and pondering how ISLMADAS can be used to understand what happened. You may use books, articles, and the interweb, but please cite your sources. I want this presentation to be more substantive and polished (so practice it) than previous ones. You should be struggling to get it all in below the 3 minute constraint, which I will apply with a timer to the second.  Questions? </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6pt;width:468pt;height:2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" fillcolor="white [3201]" strokecolor="#7f7f7f [1601]">
                      <v:textbox>
                        <w:txbxContent>
                          <w:p w:rsidR="00D042C6" w:rsidRDefault="00D042C6" w:rsidP="00D042C6">
                            <w:pPr>
                              <w:pStyle w:val="NormalWeb"/>
                              <w:spacing w:before="0" w:beforeAutospacing="0" w:after="0" w:afterAutospacing="0"/>
                            </w:pPr>
                            <w:r>
                              <w:rPr>
                                <w:rFonts w:asciiTheme="minorHAnsi" w:hAnsi="Calibri" w:cstheme="minorBidi"/>
                                <w:color w:val="000000" w:themeColor="dark1"/>
                                <w:sz w:val="22"/>
                                <w:szCs w:val="22"/>
                              </w:rPr>
                              <w:t xml:space="preserve">Task: Briefly describe what happened to the economy along with any policies and movement in Y, U, P, and interest rates (if needed) during the episode. You should do some research to determine the main shocks and results of your epsiode. You need to intepret the events and explain how they  affected the economy using the ISLMADAS Model. You need graphs and explanation in a one page Word doc. Unfortunately, you will have a maximum time of </w:t>
                            </w:r>
                            <w:r>
                              <w:rPr>
                                <w:rFonts w:asciiTheme="minorHAnsi" w:hAnsi="Calibri" w:cstheme="minorBidi"/>
                                <w:color w:val="FF0000"/>
                                <w:sz w:val="22"/>
                                <w:szCs w:val="22"/>
                              </w:rPr>
                              <w:t xml:space="preserve">3 minutes </w:t>
                            </w:r>
                            <w:r>
                              <w:rPr>
                                <w:rFonts w:asciiTheme="minorHAnsi" w:hAnsi="Calibri" w:cstheme="minorBidi"/>
                                <w:color w:val="000000" w:themeColor="dark1"/>
                                <w:sz w:val="22"/>
                                <w:szCs w:val="22"/>
                              </w:rPr>
                              <w:t xml:space="preserve">for your presentation. Please be sure to stay within time.  Create tables of data to quickly provide information. </w:t>
                            </w:r>
                            <w:r>
                              <w:rPr>
                                <w:rFonts w:asciiTheme="minorHAnsi" w:hAnsi="Calibri" w:cstheme="minorBidi"/>
                                <w:color w:val="FF0000"/>
                                <w:sz w:val="22"/>
                                <w:szCs w:val="22"/>
                              </w:rPr>
                              <w:t>Make a one page handout (with graphs) for the class (18 copies, with 1 for you) and save your one page Word doc in your class folder.</w:t>
                            </w:r>
                            <w:r>
                              <w:rPr>
                                <w:rFonts w:asciiTheme="minorHAnsi" w:hAnsi="Calibri" w:cstheme="minorBidi"/>
                                <w:color w:val="000000" w:themeColor="dark1"/>
                                <w:sz w:val="22"/>
                                <w:szCs w:val="22"/>
                              </w:rPr>
                              <w:t xml:space="preserve"> You will stand in front of the class and explain your analysis, pointing specifically to your one page (printed) handout. I don't want "AD shifted left. Y fell. Thank you." I want an explanation of the way the ISLMADAS model can be used to understand the event. I want a description of the shock or shocks and how you shifted curves and how ISLM "matches up with" ADAS. I want you to spend time researching the event so you know a little about it and pondering how ISLMADAS can be used to understand what happened. You may use books, articles, and the interweb, but please cite your sources. I want this presentation to be more substantive and polished (so practice it) than previous ones. You should be struggling to get it all in below the 3 minute constraint, which I will apply with a timer to the second.  Questions? </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60"/>
            </w:tblGrid>
            <w:tr w:rsidR="00D042C6">
              <w:trPr>
                <w:trHeight w:val="285"/>
                <w:tblCellSpacing w:w="0" w:type="dxa"/>
              </w:trPr>
              <w:tc>
                <w:tcPr>
                  <w:tcW w:w="960" w:type="dxa"/>
                  <w:tcBorders>
                    <w:top w:val="nil"/>
                    <w:left w:val="nil"/>
                    <w:bottom w:val="nil"/>
                    <w:right w:val="nil"/>
                  </w:tcBorders>
                  <w:shd w:val="clear" w:color="auto" w:fill="auto"/>
                  <w:noWrap/>
                  <w:vAlign w:val="bottom"/>
                  <w:hideMark/>
                </w:tcPr>
                <w:p w:rsidR="00D042C6" w:rsidRDefault="00D042C6">
                  <w:pPr>
                    <w:rPr>
                      <w:rFonts w:ascii="Geneva" w:hAnsi="Geneva"/>
                      <w:sz w:val="18"/>
                      <w:szCs w:val="18"/>
                    </w:rPr>
                  </w:pPr>
                </w:p>
              </w:tc>
            </w:tr>
          </w:tbl>
          <w:p w:rsidR="00D042C6" w:rsidRDefault="00D042C6">
            <w:pPr>
              <w:rPr>
                <w:rFonts w:ascii="Geneva" w:hAnsi="Geneva"/>
                <w:sz w:val="18"/>
                <w:szCs w:val="18"/>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Great Depression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Recession of 1953</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Kennedy Tax Cut</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OPEC Stagflation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Monetarist Experiment</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Dot com Recession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Great Recession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Great Recession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85"/>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Great Depression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Recession of 1953</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Kennedy Tax Cut</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OPEC Stagflation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Monetarist Experiment</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Dot com Recession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Panic of 1907</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300"/>
        </w:trPr>
        <w:tc>
          <w:tcPr>
            <w:tcW w:w="2336" w:type="dxa"/>
            <w:tcBorders>
              <w:top w:val="nil"/>
              <w:left w:val="nil"/>
              <w:bottom w:val="nil"/>
              <w:right w:val="nil"/>
            </w:tcBorders>
            <w:shd w:val="clear" w:color="auto" w:fill="auto"/>
            <w:noWrap/>
            <w:vAlign w:val="center"/>
            <w:hideMark/>
          </w:tcPr>
          <w:p w:rsidR="00D042C6" w:rsidRDefault="00D042C6">
            <w:pPr>
              <w:rPr>
                <w:rFonts w:ascii="Calibri" w:hAnsi="Calibri"/>
                <w:sz w:val="22"/>
                <w:szCs w:val="22"/>
              </w:rPr>
            </w:pPr>
            <w:r>
              <w:rPr>
                <w:rFonts w:ascii="Calibri" w:hAnsi="Calibri"/>
                <w:sz w:val="22"/>
                <w:szCs w:val="22"/>
              </w:rPr>
              <w:t>Great Recession</w:t>
            </w:r>
          </w:p>
        </w:tc>
        <w:tc>
          <w:tcPr>
            <w:tcW w:w="976" w:type="dxa"/>
            <w:tcBorders>
              <w:top w:val="nil"/>
              <w:left w:val="nil"/>
              <w:bottom w:val="nil"/>
              <w:right w:val="nil"/>
            </w:tcBorders>
            <w:shd w:val="clear" w:color="auto" w:fill="auto"/>
            <w:noWrap/>
            <w:vAlign w:val="bottom"/>
            <w:hideMark/>
          </w:tcPr>
          <w:p w:rsidR="00D042C6" w:rsidRDefault="00D042C6">
            <w:pPr>
              <w:rPr>
                <w:rFonts w:ascii="Calibri" w:hAnsi="Calibri"/>
                <w:sz w:val="22"/>
                <w:szCs w:val="22"/>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r w:rsidR="00D042C6" w:rsidTr="00D042C6">
        <w:trPr>
          <w:trHeight w:val="240"/>
        </w:trPr>
        <w:tc>
          <w:tcPr>
            <w:tcW w:w="233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2216" w:type="dxa"/>
            <w:tcBorders>
              <w:top w:val="nil"/>
              <w:left w:val="nil"/>
              <w:bottom w:val="nil"/>
              <w:right w:val="nil"/>
            </w:tcBorders>
            <w:shd w:val="clear" w:color="auto" w:fill="auto"/>
            <w:noWrap/>
            <w:vAlign w:val="bottom"/>
            <w:hideMark/>
          </w:tcPr>
          <w:p w:rsidR="00D042C6" w:rsidRDefault="00D042C6">
            <w:pPr>
              <w:rPr>
                <w:sz w:val="20"/>
                <w:szCs w:val="20"/>
              </w:rPr>
            </w:pPr>
          </w:p>
        </w:tc>
        <w:tc>
          <w:tcPr>
            <w:tcW w:w="231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c>
          <w:tcPr>
            <w:tcW w:w="976" w:type="dxa"/>
            <w:tcBorders>
              <w:top w:val="nil"/>
              <w:left w:val="nil"/>
              <w:bottom w:val="nil"/>
              <w:right w:val="nil"/>
            </w:tcBorders>
            <w:shd w:val="clear" w:color="auto" w:fill="auto"/>
            <w:noWrap/>
            <w:vAlign w:val="bottom"/>
            <w:hideMark/>
          </w:tcPr>
          <w:p w:rsidR="00D042C6" w:rsidRDefault="00D042C6">
            <w:pPr>
              <w:rPr>
                <w:sz w:val="20"/>
                <w:szCs w:val="20"/>
              </w:rPr>
            </w:pPr>
          </w:p>
        </w:tc>
      </w:tr>
    </w:tbl>
    <w:p w:rsidR="00D042C6" w:rsidRDefault="00D042C6" w:rsidP="00D042C6"/>
    <w:p w:rsidR="00A25685" w:rsidRPr="00C50C76" w:rsidRDefault="00A25685" w:rsidP="005B1FC8">
      <w:bookmarkStart w:id="0" w:name="_GoBack"/>
      <w:bookmarkEnd w:id="0"/>
    </w:p>
    <w:sectPr w:rsidR="00A25685" w:rsidRPr="00C50C76" w:rsidSect="00D042C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E16" w:rsidRDefault="005D6E16" w:rsidP="00452151">
      <w:r>
        <w:separator/>
      </w:r>
    </w:p>
  </w:endnote>
  <w:endnote w:type="continuationSeparator" w:id="0">
    <w:p w:rsidR="005D6E16" w:rsidRDefault="005D6E16"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Geneva">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E16" w:rsidRDefault="005D6E16" w:rsidP="00452151">
      <w:r>
        <w:separator/>
      </w:r>
    </w:p>
  </w:footnote>
  <w:footnote w:type="continuationSeparator" w:id="0">
    <w:p w:rsidR="005D6E16" w:rsidRDefault="005D6E16"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E6E5F"/>
    <w:multiLevelType w:val="hybridMultilevel"/>
    <w:tmpl w:val="672A32A6"/>
    <w:lvl w:ilvl="0" w:tplc="352A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D46DF3"/>
    <w:multiLevelType w:val="multilevel"/>
    <w:tmpl w:val="954A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21610"/>
    <w:multiLevelType w:val="hybridMultilevel"/>
    <w:tmpl w:val="E4841CC6"/>
    <w:lvl w:ilvl="0" w:tplc="51F0D3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C6F2D8A"/>
    <w:multiLevelType w:val="hybridMultilevel"/>
    <w:tmpl w:val="FDDA19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3E22A9"/>
    <w:multiLevelType w:val="hybridMultilevel"/>
    <w:tmpl w:val="B32C3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463756"/>
    <w:multiLevelType w:val="hybridMultilevel"/>
    <w:tmpl w:val="30D01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3B717B"/>
    <w:multiLevelType w:val="hybridMultilevel"/>
    <w:tmpl w:val="FFEE0F3E"/>
    <w:lvl w:ilvl="0" w:tplc="31F299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7"/>
  </w:num>
  <w:num w:numId="4">
    <w:abstractNumId w:val="6"/>
  </w:num>
  <w:num w:numId="5">
    <w:abstractNumId w:val="8"/>
  </w:num>
  <w:num w:numId="6">
    <w:abstractNumId w:val="1"/>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118F5"/>
    <w:rsid w:val="0001572D"/>
    <w:rsid w:val="0002093A"/>
    <w:rsid w:val="00021EBE"/>
    <w:rsid w:val="00022E0A"/>
    <w:rsid w:val="00026ED4"/>
    <w:rsid w:val="00061F51"/>
    <w:rsid w:val="0006627B"/>
    <w:rsid w:val="000A4658"/>
    <w:rsid w:val="000C3665"/>
    <w:rsid w:val="000F0A3E"/>
    <w:rsid w:val="000F7F05"/>
    <w:rsid w:val="00122A18"/>
    <w:rsid w:val="00134EFB"/>
    <w:rsid w:val="0014067D"/>
    <w:rsid w:val="0014291A"/>
    <w:rsid w:val="00142CAA"/>
    <w:rsid w:val="001528F7"/>
    <w:rsid w:val="00154404"/>
    <w:rsid w:val="001632E0"/>
    <w:rsid w:val="00183059"/>
    <w:rsid w:val="001A32D2"/>
    <w:rsid w:val="001A7CB2"/>
    <w:rsid w:val="001B0EBE"/>
    <w:rsid w:val="001B627B"/>
    <w:rsid w:val="001D38ED"/>
    <w:rsid w:val="00202EE2"/>
    <w:rsid w:val="002031DC"/>
    <w:rsid w:val="00213A38"/>
    <w:rsid w:val="00225E22"/>
    <w:rsid w:val="00225E98"/>
    <w:rsid w:val="002343B6"/>
    <w:rsid w:val="00245FAD"/>
    <w:rsid w:val="00273CC3"/>
    <w:rsid w:val="00291348"/>
    <w:rsid w:val="002D1214"/>
    <w:rsid w:val="002D578D"/>
    <w:rsid w:val="00321232"/>
    <w:rsid w:val="00321EEF"/>
    <w:rsid w:val="003446CE"/>
    <w:rsid w:val="00377D92"/>
    <w:rsid w:val="00383BE2"/>
    <w:rsid w:val="003A4DEE"/>
    <w:rsid w:val="003A6E9C"/>
    <w:rsid w:val="003E5855"/>
    <w:rsid w:val="003F2F6F"/>
    <w:rsid w:val="003F5C81"/>
    <w:rsid w:val="003F6E9F"/>
    <w:rsid w:val="00404A29"/>
    <w:rsid w:val="00440A06"/>
    <w:rsid w:val="00441EAD"/>
    <w:rsid w:val="00452151"/>
    <w:rsid w:val="00455E96"/>
    <w:rsid w:val="004606FB"/>
    <w:rsid w:val="00460CDC"/>
    <w:rsid w:val="00461F26"/>
    <w:rsid w:val="00471880"/>
    <w:rsid w:val="0047720D"/>
    <w:rsid w:val="00484416"/>
    <w:rsid w:val="00486709"/>
    <w:rsid w:val="0048718D"/>
    <w:rsid w:val="00487D00"/>
    <w:rsid w:val="004B54A5"/>
    <w:rsid w:val="004B6CD2"/>
    <w:rsid w:val="004C1AF6"/>
    <w:rsid w:val="004C2308"/>
    <w:rsid w:val="00522FF7"/>
    <w:rsid w:val="00536DF9"/>
    <w:rsid w:val="00563F09"/>
    <w:rsid w:val="00587FCE"/>
    <w:rsid w:val="00591056"/>
    <w:rsid w:val="0059748E"/>
    <w:rsid w:val="005B1EF3"/>
    <w:rsid w:val="005B1FC8"/>
    <w:rsid w:val="005B45DF"/>
    <w:rsid w:val="005D44B3"/>
    <w:rsid w:val="005D6E16"/>
    <w:rsid w:val="005F7E9D"/>
    <w:rsid w:val="00604346"/>
    <w:rsid w:val="00606E60"/>
    <w:rsid w:val="00607B4C"/>
    <w:rsid w:val="00616224"/>
    <w:rsid w:val="00620378"/>
    <w:rsid w:val="00624FA4"/>
    <w:rsid w:val="00626233"/>
    <w:rsid w:val="00654279"/>
    <w:rsid w:val="006678B8"/>
    <w:rsid w:val="00667C3D"/>
    <w:rsid w:val="006700AB"/>
    <w:rsid w:val="006825F3"/>
    <w:rsid w:val="006F65C8"/>
    <w:rsid w:val="0070229B"/>
    <w:rsid w:val="0070446B"/>
    <w:rsid w:val="007226B4"/>
    <w:rsid w:val="00743310"/>
    <w:rsid w:val="00745F82"/>
    <w:rsid w:val="00747760"/>
    <w:rsid w:val="00770172"/>
    <w:rsid w:val="00772235"/>
    <w:rsid w:val="00774A83"/>
    <w:rsid w:val="00781B77"/>
    <w:rsid w:val="007A45E7"/>
    <w:rsid w:val="007A69E0"/>
    <w:rsid w:val="007B066B"/>
    <w:rsid w:val="007D1EA0"/>
    <w:rsid w:val="007D4EF3"/>
    <w:rsid w:val="007E4779"/>
    <w:rsid w:val="00810F1A"/>
    <w:rsid w:val="00821B3D"/>
    <w:rsid w:val="008234A7"/>
    <w:rsid w:val="00823AC3"/>
    <w:rsid w:val="00836769"/>
    <w:rsid w:val="00844051"/>
    <w:rsid w:val="00847DA7"/>
    <w:rsid w:val="00851791"/>
    <w:rsid w:val="00862E1D"/>
    <w:rsid w:val="00873863"/>
    <w:rsid w:val="00887A53"/>
    <w:rsid w:val="00893D3E"/>
    <w:rsid w:val="008B393E"/>
    <w:rsid w:val="008B52DE"/>
    <w:rsid w:val="008C2577"/>
    <w:rsid w:val="008C2EDE"/>
    <w:rsid w:val="008D245C"/>
    <w:rsid w:val="008E4BBF"/>
    <w:rsid w:val="00915A49"/>
    <w:rsid w:val="0092160E"/>
    <w:rsid w:val="00935362"/>
    <w:rsid w:val="00963DE5"/>
    <w:rsid w:val="00970140"/>
    <w:rsid w:val="009724AC"/>
    <w:rsid w:val="009903CC"/>
    <w:rsid w:val="00994357"/>
    <w:rsid w:val="009B1749"/>
    <w:rsid w:val="009B31E6"/>
    <w:rsid w:val="009B4C2F"/>
    <w:rsid w:val="009C00B2"/>
    <w:rsid w:val="009E7D30"/>
    <w:rsid w:val="009F2DD2"/>
    <w:rsid w:val="009F3EA1"/>
    <w:rsid w:val="009F4606"/>
    <w:rsid w:val="00A016B2"/>
    <w:rsid w:val="00A12EE2"/>
    <w:rsid w:val="00A2224F"/>
    <w:rsid w:val="00A25685"/>
    <w:rsid w:val="00A268F8"/>
    <w:rsid w:val="00A27CCE"/>
    <w:rsid w:val="00A42050"/>
    <w:rsid w:val="00A4594A"/>
    <w:rsid w:val="00A5018B"/>
    <w:rsid w:val="00A502B4"/>
    <w:rsid w:val="00A53969"/>
    <w:rsid w:val="00AB1BD0"/>
    <w:rsid w:val="00AC38F3"/>
    <w:rsid w:val="00AC648A"/>
    <w:rsid w:val="00AD03D3"/>
    <w:rsid w:val="00AD5BCA"/>
    <w:rsid w:val="00AD6159"/>
    <w:rsid w:val="00B20C02"/>
    <w:rsid w:val="00B37D7C"/>
    <w:rsid w:val="00B429B5"/>
    <w:rsid w:val="00B625C0"/>
    <w:rsid w:val="00B6744E"/>
    <w:rsid w:val="00B7159A"/>
    <w:rsid w:val="00BB5A27"/>
    <w:rsid w:val="00BB5F05"/>
    <w:rsid w:val="00BD2B4E"/>
    <w:rsid w:val="00BE3AC5"/>
    <w:rsid w:val="00C075AD"/>
    <w:rsid w:val="00C22C1F"/>
    <w:rsid w:val="00C238CF"/>
    <w:rsid w:val="00C3396C"/>
    <w:rsid w:val="00C4562F"/>
    <w:rsid w:val="00C50C76"/>
    <w:rsid w:val="00C627A5"/>
    <w:rsid w:val="00C845FE"/>
    <w:rsid w:val="00C954C0"/>
    <w:rsid w:val="00CB4AA5"/>
    <w:rsid w:val="00CF2DA1"/>
    <w:rsid w:val="00D042C6"/>
    <w:rsid w:val="00D1076D"/>
    <w:rsid w:val="00D16305"/>
    <w:rsid w:val="00D256F2"/>
    <w:rsid w:val="00D5076D"/>
    <w:rsid w:val="00D516BF"/>
    <w:rsid w:val="00D74986"/>
    <w:rsid w:val="00D74AEF"/>
    <w:rsid w:val="00D8299A"/>
    <w:rsid w:val="00DB0D19"/>
    <w:rsid w:val="00DB19D4"/>
    <w:rsid w:val="00DB2D0F"/>
    <w:rsid w:val="00DE6FB1"/>
    <w:rsid w:val="00DF28F2"/>
    <w:rsid w:val="00E10D9C"/>
    <w:rsid w:val="00E264F3"/>
    <w:rsid w:val="00E356A1"/>
    <w:rsid w:val="00E411A5"/>
    <w:rsid w:val="00EA04C6"/>
    <w:rsid w:val="00ED7B68"/>
    <w:rsid w:val="00EE01D4"/>
    <w:rsid w:val="00F0791E"/>
    <w:rsid w:val="00F12CAE"/>
    <w:rsid w:val="00F25A00"/>
    <w:rsid w:val="00F42A08"/>
    <w:rsid w:val="00F5716B"/>
    <w:rsid w:val="00F64782"/>
    <w:rsid w:val="00F768E8"/>
    <w:rsid w:val="00F85B1A"/>
    <w:rsid w:val="00F93475"/>
    <w:rsid w:val="00F93B7D"/>
    <w:rsid w:val="00FB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63FBEB-0784-4264-BEC5-5C5AC05F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 w:type="character" w:styleId="Hyperlink">
    <w:name w:val="Hyperlink"/>
    <w:basedOn w:val="DefaultParagraphFont"/>
    <w:uiPriority w:val="99"/>
    <w:unhideWhenUsed/>
    <w:rsid w:val="00D74AEF"/>
    <w:rPr>
      <w:color w:val="0563C1" w:themeColor="hyperlink"/>
      <w:u w:val="single"/>
    </w:rPr>
  </w:style>
  <w:style w:type="character" w:styleId="FollowedHyperlink">
    <w:name w:val="FollowedHyperlink"/>
    <w:basedOn w:val="DefaultParagraphFont"/>
    <w:uiPriority w:val="99"/>
    <w:semiHidden/>
    <w:unhideWhenUsed/>
    <w:rsid w:val="00DB2D0F"/>
    <w:rPr>
      <w:color w:val="954F72" w:themeColor="followedHyperlink"/>
      <w:u w:val="single"/>
    </w:rPr>
  </w:style>
  <w:style w:type="paragraph" w:styleId="BalloonText">
    <w:name w:val="Balloon Text"/>
    <w:basedOn w:val="Normal"/>
    <w:link w:val="BalloonTextChar"/>
    <w:uiPriority w:val="99"/>
    <w:semiHidden/>
    <w:unhideWhenUsed/>
    <w:rsid w:val="00A268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8F8"/>
    <w:rPr>
      <w:rFonts w:ascii="Segoe UI" w:hAnsi="Segoe UI" w:cs="Segoe UI"/>
      <w:sz w:val="18"/>
      <w:szCs w:val="18"/>
    </w:rPr>
  </w:style>
  <w:style w:type="paragraph" w:styleId="FootnoteText">
    <w:name w:val="footnote text"/>
    <w:basedOn w:val="Normal"/>
    <w:link w:val="FootnoteTextChar"/>
    <w:uiPriority w:val="99"/>
    <w:semiHidden/>
    <w:unhideWhenUsed/>
    <w:rsid w:val="00606E60"/>
    <w:rPr>
      <w:sz w:val="20"/>
      <w:szCs w:val="20"/>
    </w:rPr>
  </w:style>
  <w:style w:type="character" w:customStyle="1" w:styleId="FootnoteTextChar">
    <w:name w:val="Footnote Text Char"/>
    <w:basedOn w:val="DefaultParagraphFont"/>
    <w:link w:val="FootnoteText"/>
    <w:uiPriority w:val="99"/>
    <w:semiHidden/>
    <w:rsid w:val="00606E60"/>
  </w:style>
  <w:style w:type="character" w:styleId="FootnoteReference">
    <w:name w:val="footnote reference"/>
    <w:basedOn w:val="DefaultParagraphFont"/>
    <w:uiPriority w:val="99"/>
    <w:semiHidden/>
    <w:unhideWhenUsed/>
    <w:rsid w:val="00606E60"/>
    <w:rPr>
      <w:vertAlign w:val="superscript"/>
    </w:rPr>
  </w:style>
  <w:style w:type="paragraph" w:styleId="NormalWeb">
    <w:name w:val="Normal (Web)"/>
    <w:basedOn w:val="Normal"/>
    <w:uiPriority w:val="99"/>
    <w:semiHidden/>
    <w:unhideWhenUsed/>
    <w:rsid w:val="00D042C6"/>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56487">
      <w:bodyDiv w:val="1"/>
      <w:marLeft w:val="0"/>
      <w:marRight w:val="0"/>
      <w:marTop w:val="0"/>
      <w:marBottom w:val="0"/>
      <w:divBdr>
        <w:top w:val="none" w:sz="0" w:space="0" w:color="auto"/>
        <w:left w:val="none" w:sz="0" w:space="0" w:color="auto"/>
        <w:bottom w:val="none" w:sz="0" w:space="0" w:color="auto"/>
        <w:right w:val="none" w:sz="0" w:space="0" w:color="auto"/>
      </w:divBdr>
    </w:div>
    <w:div w:id="531578874">
      <w:bodyDiv w:val="1"/>
      <w:marLeft w:val="0"/>
      <w:marRight w:val="0"/>
      <w:marTop w:val="0"/>
      <w:marBottom w:val="0"/>
      <w:divBdr>
        <w:top w:val="none" w:sz="0" w:space="0" w:color="auto"/>
        <w:left w:val="none" w:sz="0" w:space="0" w:color="auto"/>
        <w:bottom w:val="none" w:sz="0" w:space="0" w:color="auto"/>
        <w:right w:val="none" w:sz="0" w:space="0" w:color="auto"/>
      </w:divBdr>
    </w:div>
    <w:div w:id="691299880">
      <w:bodyDiv w:val="1"/>
      <w:marLeft w:val="0"/>
      <w:marRight w:val="0"/>
      <w:marTop w:val="0"/>
      <w:marBottom w:val="0"/>
      <w:divBdr>
        <w:top w:val="none" w:sz="0" w:space="0" w:color="auto"/>
        <w:left w:val="none" w:sz="0" w:space="0" w:color="auto"/>
        <w:bottom w:val="none" w:sz="0" w:space="0" w:color="auto"/>
        <w:right w:val="none" w:sz="0" w:space="0" w:color="auto"/>
      </w:divBdr>
    </w:div>
    <w:div w:id="1423065778">
      <w:bodyDiv w:val="1"/>
      <w:marLeft w:val="0"/>
      <w:marRight w:val="0"/>
      <w:marTop w:val="0"/>
      <w:marBottom w:val="0"/>
      <w:divBdr>
        <w:top w:val="none" w:sz="0" w:space="0" w:color="auto"/>
        <w:left w:val="none" w:sz="0" w:space="0" w:color="auto"/>
        <w:bottom w:val="none" w:sz="0" w:space="0" w:color="auto"/>
        <w:right w:val="none" w:sz="0" w:space="0" w:color="auto"/>
      </w:divBdr>
    </w:div>
    <w:div w:id="176122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0631-71E7-443A-83F3-B1C09DE2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5</cp:revision>
  <cp:lastPrinted>2014-04-11T13:31:00Z</cp:lastPrinted>
  <dcterms:created xsi:type="dcterms:W3CDTF">2014-04-22T19:11:00Z</dcterms:created>
  <dcterms:modified xsi:type="dcterms:W3CDTF">2014-06-11T17:05:00Z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